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方正小标宋简体"/>
          <w:sz w:val="36"/>
          <w:szCs w:val="30"/>
        </w:rPr>
      </w:pPr>
      <w:r>
        <w:rPr>
          <w:rFonts w:eastAsia="方正小标宋简体"/>
          <w:sz w:val="36"/>
          <w:szCs w:val="30"/>
        </w:rPr>
        <w:t>附件</w:t>
      </w:r>
      <w:r>
        <w:rPr>
          <w:rFonts w:hint="eastAsia" w:eastAsia="方正小标宋简体"/>
          <w:sz w:val="36"/>
          <w:szCs w:val="30"/>
        </w:rPr>
        <w:t>1：</w:t>
      </w:r>
    </w:p>
    <w:p>
      <w:pPr>
        <w:adjustRightInd w:val="0"/>
        <w:snapToGrid w:val="0"/>
        <w:spacing w:after="156" w:afterLines="50" w:line="500" w:lineRule="exact"/>
        <w:jc w:val="center"/>
        <w:rPr>
          <w:rFonts w:hint="eastAsia" w:eastAsia="方正小标宋简体"/>
          <w:b/>
          <w:sz w:val="36"/>
          <w:szCs w:val="30"/>
        </w:rPr>
      </w:pPr>
      <w:r>
        <w:rPr>
          <w:rFonts w:eastAsia="方正小标宋简体"/>
          <w:b/>
          <w:sz w:val="36"/>
          <w:szCs w:val="30"/>
        </w:rPr>
        <w:t>高</w:t>
      </w:r>
      <w:r>
        <w:rPr>
          <w:rFonts w:hint="eastAsia" w:eastAsia="方正小标宋简体"/>
          <w:b/>
          <w:sz w:val="36"/>
          <w:szCs w:val="30"/>
        </w:rPr>
        <w:t>等</w:t>
      </w:r>
      <w:r>
        <w:rPr>
          <w:rFonts w:eastAsia="方正小标宋简体"/>
          <w:b/>
          <w:sz w:val="36"/>
          <w:szCs w:val="30"/>
        </w:rPr>
        <w:t>学校实验室安全检查项目</w:t>
      </w:r>
      <w:r>
        <w:rPr>
          <w:rFonts w:hint="eastAsia" w:eastAsia="方正小标宋简体"/>
          <w:b/>
          <w:sz w:val="36"/>
          <w:szCs w:val="30"/>
        </w:rPr>
        <w:t>表学院需要落实的检查项目</w:t>
      </w:r>
    </w:p>
    <w:p>
      <w:pPr>
        <w:adjustRightInd w:val="0"/>
        <w:snapToGrid w:val="0"/>
        <w:spacing w:after="156" w:afterLines="50" w:line="500" w:lineRule="exact"/>
        <w:ind w:firstLine="4760" w:firstLineChars="1700"/>
        <w:rPr>
          <w:rFonts w:ascii="黑体" w:hAnsi="黑体" w:eastAsia="黑体"/>
          <w:b/>
          <w:sz w:val="36"/>
          <w:szCs w:val="30"/>
        </w:rPr>
      </w:pPr>
      <w:r>
        <w:rPr>
          <w:rFonts w:hint="eastAsia" w:ascii="黑体" w:hAnsi="黑体" w:eastAsia="黑体"/>
          <w:b/>
          <w:sz w:val="28"/>
          <w:szCs w:val="28"/>
        </w:rPr>
        <w:t>（以</w:t>
      </w:r>
      <w:r>
        <w:rPr>
          <w:rFonts w:hint="eastAsia" w:ascii="黑体" w:hAnsi="黑体" w:eastAsia="黑体"/>
          <w:b/>
          <w:sz w:val="28"/>
          <w:szCs w:val="28"/>
          <w:lang w:val="en-US" w:eastAsia="zh-CN"/>
        </w:rPr>
        <w:t>学院</w:t>
      </w:r>
      <w:r>
        <w:rPr>
          <w:rFonts w:hint="eastAsia" w:ascii="黑体" w:hAnsi="黑体" w:eastAsia="黑体"/>
          <w:b/>
          <w:sz w:val="28"/>
          <w:szCs w:val="28"/>
        </w:rPr>
        <w:t>为单位）</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374"/>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shd w:val="clear" w:color="auto" w:fill="auto"/>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序号</w:t>
            </w:r>
          </w:p>
        </w:tc>
        <w:tc>
          <w:tcPr>
            <w:tcW w:w="3820" w:type="dxa"/>
            <w:shd w:val="clear" w:color="auto" w:fill="auto"/>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检查</w:t>
            </w:r>
            <w:r>
              <w:rPr>
                <w:rFonts w:hint="eastAsia" w:eastAsia="黑体"/>
                <w:b/>
                <w:bCs/>
                <w:kern w:val="0"/>
                <w:szCs w:val="21"/>
              </w:rPr>
              <w:t>项目</w:t>
            </w:r>
          </w:p>
        </w:tc>
        <w:tc>
          <w:tcPr>
            <w:tcW w:w="7374" w:type="dxa"/>
            <w:shd w:val="clear" w:color="auto" w:fill="auto"/>
            <w:tcMar>
              <w:left w:w="45" w:type="dxa"/>
              <w:right w:w="45" w:type="dxa"/>
            </w:tcMar>
            <w:vAlign w:val="center"/>
          </w:tcPr>
          <w:p>
            <w:pPr>
              <w:spacing w:line="300" w:lineRule="exact"/>
              <w:jc w:val="center"/>
              <w:rPr>
                <w:rFonts w:eastAsia="黑体"/>
                <w:b/>
                <w:bCs/>
                <w:kern w:val="0"/>
                <w:szCs w:val="21"/>
              </w:rPr>
            </w:pPr>
            <w:bookmarkStart w:id="0" w:name="_GoBack"/>
            <w:bookmarkEnd w:id="0"/>
            <w:r>
              <w:rPr>
                <w:rFonts w:hint="eastAsia" w:eastAsia="黑体"/>
                <w:b/>
                <w:bCs/>
                <w:kern w:val="0"/>
                <w:szCs w:val="21"/>
              </w:rPr>
              <w:t>检查要点</w:t>
            </w:r>
          </w:p>
        </w:tc>
        <w:tc>
          <w:tcPr>
            <w:tcW w:w="2829" w:type="dxa"/>
            <w:shd w:val="clear" w:color="auto" w:fill="auto"/>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w:t>
            </w:r>
          </w:p>
        </w:tc>
        <w:tc>
          <w:tcPr>
            <w:tcW w:w="14023" w:type="dxa"/>
            <w:gridSpan w:val="3"/>
            <w:shd w:val="clear" w:color="auto" w:fill="auto"/>
            <w:tcMar>
              <w:left w:w="45" w:type="dxa"/>
              <w:right w:w="45" w:type="dxa"/>
            </w:tcMar>
            <w:vAlign w:val="center"/>
          </w:tcPr>
          <w:p>
            <w:pPr>
              <w:widowControl/>
              <w:spacing w:line="300" w:lineRule="exact"/>
              <w:rPr>
                <w:b/>
                <w:kern w:val="0"/>
                <w:szCs w:val="21"/>
              </w:rPr>
            </w:pPr>
            <w:r>
              <w:rPr>
                <w:rFonts w:hint="eastAsia"/>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1.2</w:t>
            </w:r>
          </w:p>
        </w:tc>
        <w:tc>
          <w:tcPr>
            <w:tcW w:w="14023" w:type="dxa"/>
            <w:gridSpan w:val="3"/>
            <w:shd w:val="clear" w:color="auto" w:fill="auto"/>
            <w:tcMar>
              <w:left w:w="45" w:type="dxa"/>
              <w:right w:w="45" w:type="dxa"/>
            </w:tcMar>
            <w:vAlign w:val="center"/>
          </w:tcPr>
          <w:p>
            <w:pPr>
              <w:widowControl/>
              <w:spacing w:line="300" w:lineRule="exact"/>
              <w:rPr>
                <w:b/>
                <w:kern w:val="0"/>
                <w:szCs w:val="21"/>
              </w:rPr>
            </w:pPr>
            <w:r>
              <w:rPr>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1.2.1</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.2.2</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1.2.3</w:t>
            </w:r>
          </w:p>
        </w:tc>
        <w:tc>
          <w:tcPr>
            <w:tcW w:w="3820" w:type="dxa"/>
            <w:shd w:val="clear" w:color="auto" w:fill="auto"/>
            <w:tcMar>
              <w:left w:w="45" w:type="dxa"/>
              <w:right w:w="45" w:type="dxa"/>
            </w:tcMar>
            <w:vAlign w:val="center"/>
          </w:tcPr>
          <w:p>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1.2.4</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有</w:t>
            </w:r>
            <w:r>
              <w:rPr>
                <w:kern w:val="0"/>
                <w:szCs w:val="21"/>
              </w:rPr>
              <w:t>实验室安全管理责任书</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shd w:val="clear" w:color="auto" w:fill="auto"/>
            <w:tcMar>
              <w:left w:w="45" w:type="dxa"/>
              <w:right w:w="45" w:type="dxa"/>
            </w:tcMar>
            <w:vAlign w:val="center"/>
          </w:tcPr>
          <w:p>
            <w:pPr>
              <w:widowControl/>
              <w:spacing w:line="300" w:lineRule="exact"/>
              <w:jc w:val="left"/>
              <w:rPr>
                <w:kern w:val="0"/>
                <w:szCs w:val="21"/>
              </w:rPr>
            </w:pPr>
            <w:r>
              <w:rPr>
                <w:rFonts w:hint="eastAsia"/>
                <w:bCs/>
                <w:kern w:val="0"/>
                <w:szCs w:val="21"/>
              </w:rPr>
              <w:t>查财务证据</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shd w:val="clear" w:color="auto" w:fill="auto"/>
            <w:tcMar>
              <w:left w:w="45" w:type="dxa"/>
              <w:right w:w="45" w:type="dxa"/>
            </w:tcMar>
            <w:vAlign w:val="center"/>
          </w:tcPr>
          <w:p>
            <w:pPr>
              <w:widowControl/>
              <w:spacing w:line="300" w:lineRule="exact"/>
              <w:jc w:val="left"/>
              <w:rPr>
                <w:kern w:val="0"/>
                <w:szCs w:val="21"/>
              </w:rPr>
            </w:pPr>
            <w:r>
              <w:rPr>
                <w:kern w:val="0"/>
                <w:szCs w:val="21"/>
              </w:rPr>
              <w:t>建立完整的实验室安全工作档案</w:t>
            </w:r>
          </w:p>
        </w:tc>
        <w:tc>
          <w:tcPr>
            <w:tcW w:w="7374" w:type="dxa"/>
            <w:shd w:val="clear" w:color="auto" w:fill="auto"/>
            <w:tcMar>
              <w:left w:w="45" w:type="dxa"/>
              <w:right w:w="45" w:type="dxa"/>
            </w:tcMar>
            <w:vAlign w:val="center"/>
          </w:tcPr>
          <w:p>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shd w:val="clear" w:color="auto" w:fill="auto"/>
            <w:tcMar>
              <w:left w:w="45" w:type="dxa"/>
              <w:right w:w="45" w:type="dxa"/>
            </w:tcMar>
            <w:vAlign w:val="center"/>
          </w:tcPr>
          <w:p>
            <w:pPr>
              <w:widowControl/>
              <w:spacing w:line="300" w:lineRule="exact"/>
              <w:jc w:val="left"/>
              <w:rPr>
                <w:b/>
                <w:color w:val="000000"/>
                <w:kern w:val="0"/>
                <w:szCs w:val="21"/>
              </w:rPr>
            </w:pPr>
            <w:r>
              <w:rPr>
                <w:b/>
                <w:color w:val="000000"/>
                <w:kern w:val="0"/>
                <w:szCs w:val="21"/>
              </w:rPr>
              <w:t>2</w:t>
            </w:r>
          </w:p>
        </w:tc>
        <w:tc>
          <w:tcPr>
            <w:tcW w:w="14023" w:type="dxa"/>
            <w:gridSpan w:val="3"/>
            <w:shd w:val="clear" w:color="auto" w:fill="auto"/>
            <w:tcMar>
              <w:left w:w="45" w:type="dxa"/>
              <w:right w:w="45" w:type="dxa"/>
            </w:tcMar>
            <w:vAlign w:val="center"/>
          </w:tcPr>
          <w:p>
            <w:pPr>
              <w:widowControl/>
              <w:spacing w:line="300" w:lineRule="exact"/>
              <w:jc w:val="left"/>
              <w:rPr>
                <w:b/>
                <w:color w:val="000000"/>
                <w:kern w:val="0"/>
                <w:szCs w:val="21"/>
              </w:rPr>
            </w:pPr>
            <w:r>
              <w:rPr>
                <w:b/>
                <w:color w:val="000000"/>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2</w:t>
            </w:r>
            <w:r>
              <w:rPr>
                <w:bCs/>
                <w:kern w:val="0"/>
                <w:szCs w:val="21"/>
              </w:rPr>
              <w:t>.1.3</w:t>
            </w:r>
          </w:p>
        </w:tc>
        <w:tc>
          <w:tcPr>
            <w:tcW w:w="382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有各类院系级实验安全管理制度</w:t>
            </w:r>
          </w:p>
        </w:tc>
        <w:tc>
          <w:tcPr>
            <w:tcW w:w="7374" w:type="dxa"/>
            <w:shd w:val="clear" w:color="auto" w:fill="auto"/>
            <w:tcMar>
              <w:left w:w="45" w:type="dxa"/>
              <w:right w:w="45" w:type="dxa"/>
            </w:tcMar>
            <w:vAlign w:val="center"/>
          </w:tcPr>
          <w:p>
            <w:pPr>
              <w:spacing w:line="300" w:lineRule="exact"/>
              <w:rPr>
                <w:bCs/>
                <w:kern w:val="0"/>
                <w:szCs w:val="21"/>
              </w:rPr>
            </w:pPr>
            <w:r>
              <w:rPr>
                <w:rFonts w:hint="eastAsia"/>
                <w:bCs/>
                <w:kern w:val="0"/>
                <w:szCs w:val="21"/>
              </w:rPr>
              <w:t>建</w:t>
            </w:r>
            <w:r>
              <w:rPr>
                <w:bCs/>
                <w:kern w:val="0"/>
                <w:szCs w:val="21"/>
              </w:rPr>
              <w:t>有学科特色的实验室安全管理制度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3</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3.1</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安全教育</w:t>
            </w:r>
            <w:r>
              <w:rPr>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3.1.1</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逐步开设实验室安全必修课或选修课</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对于化学、生物、辐射等高风险的相关院系和专业，要逐步开设有学分的安全教育必修课，鼓励其他专业开设安全选修课</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3.1.2</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每年</w:t>
            </w:r>
            <w:r>
              <w:rPr>
                <w:color w:val="000000"/>
                <w:kern w:val="0"/>
                <w:szCs w:val="21"/>
              </w:rPr>
              <w:t>开展教工和学生安全教育培训</w:t>
            </w:r>
            <w:r>
              <w:rPr>
                <w:rFonts w:hint="eastAsia"/>
                <w:color w:val="000000"/>
                <w:kern w:val="0"/>
                <w:szCs w:val="21"/>
              </w:rPr>
              <w:t>活动</w:t>
            </w:r>
          </w:p>
        </w:tc>
        <w:tc>
          <w:tcPr>
            <w:tcW w:w="7374" w:type="dxa"/>
            <w:shd w:val="clear" w:color="auto" w:fill="auto"/>
            <w:tcMar>
              <w:left w:w="45" w:type="dxa"/>
              <w:right w:w="45" w:type="dxa"/>
            </w:tcMar>
            <w:vAlign w:val="center"/>
          </w:tcPr>
          <w:p>
            <w:pPr>
              <w:widowControl/>
              <w:spacing w:line="300" w:lineRule="exact"/>
              <w:rPr>
                <w:bCs/>
                <w:color w:val="000000"/>
                <w:kern w:val="0"/>
                <w:szCs w:val="21"/>
              </w:rPr>
            </w:pPr>
            <w:r>
              <w:rPr>
                <w:rFonts w:hint="eastAsia"/>
                <w:bCs/>
                <w:color w:val="000000"/>
                <w:kern w:val="0"/>
                <w:szCs w:val="21"/>
              </w:rPr>
              <w:t>查看历年存档记录，包含培训时间、内容、人数、通知、会场照片等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3.1.3</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院</w:t>
            </w:r>
            <w:r>
              <w:rPr>
                <w:rFonts w:hint="eastAsia"/>
                <w:color w:val="000000"/>
                <w:kern w:val="0"/>
                <w:szCs w:val="21"/>
              </w:rPr>
              <w:t>系开展</w:t>
            </w:r>
            <w:r>
              <w:rPr>
                <w:color w:val="000000"/>
                <w:kern w:val="0"/>
                <w:szCs w:val="21"/>
              </w:rPr>
              <w:t>专业安全培训活动</w:t>
            </w:r>
          </w:p>
        </w:tc>
        <w:tc>
          <w:tcPr>
            <w:tcW w:w="7374" w:type="dxa"/>
            <w:shd w:val="clear" w:color="auto" w:fill="auto"/>
            <w:tcMar>
              <w:left w:w="45" w:type="dxa"/>
              <w:right w:w="45" w:type="dxa"/>
            </w:tcMar>
            <w:vAlign w:val="center"/>
          </w:tcPr>
          <w:p>
            <w:pPr>
              <w:widowControl/>
              <w:spacing w:line="300" w:lineRule="exact"/>
              <w:rPr>
                <w:bCs/>
                <w:color w:val="000000"/>
                <w:kern w:val="0"/>
                <w:szCs w:val="21"/>
              </w:rPr>
            </w:pPr>
            <w:r>
              <w:rPr>
                <w:rFonts w:hint="eastAsia"/>
                <w:bCs/>
                <w:color w:val="000000"/>
                <w:kern w:val="0"/>
                <w:szCs w:val="21"/>
              </w:rPr>
              <w:t>查看记录，</w:t>
            </w:r>
            <w:r>
              <w:rPr>
                <w:rFonts w:hint="eastAsia"/>
                <w:color w:val="000000"/>
                <w:kern w:val="0"/>
                <w:szCs w:val="21"/>
              </w:rPr>
              <w:t>重点</w:t>
            </w:r>
            <w:r>
              <w:rPr>
                <w:color w:val="000000"/>
                <w:kern w:val="0"/>
                <w:szCs w:val="21"/>
              </w:rPr>
              <w:t>关注</w:t>
            </w:r>
            <w:r>
              <w:rPr>
                <w:rFonts w:hint="eastAsia"/>
                <w:color w:val="000000"/>
                <w:kern w:val="0"/>
                <w:szCs w:val="21"/>
              </w:rPr>
              <w:t>外来人员特别是</w:t>
            </w:r>
            <w:r>
              <w:rPr>
                <w:color w:val="000000"/>
                <w:kern w:val="0"/>
                <w:szCs w:val="21"/>
              </w:rPr>
              <w:t>尚未报到的新生</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3.1.4</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开展结合学科特点的应急演练</w:t>
            </w:r>
          </w:p>
        </w:tc>
        <w:tc>
          <w:tcPr>
            <w:tcW w:w="7374" w:type="dxa"/>
            <w:shd w:val="clear" w:color="auto" w:fill="auto"/>
            <w:tcMar>
              <w:left w:w="45" w:type="dxa"/>
              <w:right w:w="45" w:type="dxa"/>
            </w:tcMar>
            <w:vAlign w:val="center"/>
          </w:tcPr>
          <w:p>
            <w:pPr>
              <w:widowControl/>
              <w:spacing w:line="300" w:lineRule="exact"/>
              <w:rPr>
                <w:color w:val="000000"/>
                <w:kern w:val="0"/>
                <w:szCs w:val="21"/>
              </w:rPr>
            </w:pPr>
            <w:r>
              <w:rPr>
                <w:rFonts w:hint="eastAsia"/>
                <w:color w:val="000000"/>
                <w:kern w:val="0"/>
                <w:szCs w:val="21"/>
              </w:rPr>
              <w:t>查看档案</w:t>
            </w:r>
            <w:r>
              <w:rPr>
                <w:color w:val="000000"/>
                <w:kern w:val="0"/>
                <w:szCs w:val="21"/>
              </w:rPr>
              <w:t>，</w:t>
            </w:r>
            <w:r>
              <w:rPr>
                <w:rFonts w:hint="eastAsia"/>
                <w:color w:val="000000"/>
                <w:kern w:val="0"/>
                <w:szCs w:val="21"/>
              </w:rPr>
              <w:t>包含演练内容、人数、效果评价等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3.</w:t>
            </w:r>
            <w:r>
              <w:rPr>
                <w:rFonts w:hint="eastAsia"/>
                <w:color w:val="000000"/>
                <w:kern w:val="0"/>
                <w:szCs w:val="21"/>
              </w:rPr>
              <w:t>1</w:t>
            </w:r>
            <w:r>
              <w:rPr>
                <w:color w:val="000000"/>
                <w:kern w:val="0"/>
                <w:szCs w:val="21"/>
              </w:rPr>
              <w:t>.5</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组织</w:t>
            </w:r>
            <w:r>
              <w:rPr>
                <w:color w:val="000000"/>
                <w:kern w:val="0"/>
                <w:szCs w:val="21"/>
              </w:rPr>
              <w:t>实验室安全</w:t>
            </w:r>
            <w:r>
              <w:rPr>
                <w:rFonts w:hint="eastAsia"/>
                <w:color w:val="000000"/>
                <w:kern w:val="0"/>
                <w:szCs w:val="21"/>
              </w:rPr>
              <w:t>知识考试</w:t>
            </w:r>
          </w:p>
        </w:tc>
        <w:tc>
          <w:tcPr>
            <w:tcW w:w="7374"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建议题库内容包含通识类和各专业学科分类安全知识、安全规范、国家相关法律法规、应急措施等；</w:t>
            </w:r>
            <w:r>
              <w:rPr>
                <w:color w:val="000000"/>
                <w:kern w:val="0"/>
                <w:szCs w:val="21"/>
              </w:rPr>
              <w:t>新教工、新生</w:t>
            </w:r>
            <w:r>
              <w:rPr>
                <w:rFonts w:hint="eastAsia"/>
                <w:color w:val="000000"/>
                <w:kern w:val="0"/>
                <w:szCs w:val="21"/>
              </w:rPr>
              <w:t>均需参加考试，通过者发放合格证书</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color w:val="000000"/>
                <w:kern w:val="0"/>
                <w:szCs w:val="21"/>
              </w:rPr>
            </w:pPr>
            <w:r>
              <w:rPr>
                <w:b/>
                <w:color w:val="000000"/>
                <w:kern w:val="0"/>
                <w:szCs w:val="21"/>
              </w:rPr>
              <w:t>3.</w:t>
            </w:r>
            <w:r>
              <w:rPr>
                <w:rFonts w:hint="eastAsia"/>
                <w:b/>
                <w:color w:val="000000"/>
                <w:kern w:val="0"/>
                <w:szCs w:val="21"/>
              </w:rPr>
              <w:t>2</w:t>
            </w:r>
          </w:p>
        </w:tc>
        <w:tc>
          <w:tcPr>
            <w:tcW w:w="14023" w:type="dxa"/>
            <w:gridSpan w:val="3"/>
            <w:shd w:val="clear" w:color="auto" w:fill="auto"/>
            <w:tcMar>
              <w:left w:w="45" w:type="dxa"/>
              <w:right w:w="45" w:type="dxa"/>
            </w:tcMar>
            <w:vAlign w:val="center"/>
          </w:tcPr>
          <w:p>
            <w:pPr>
              <w:widowControl/>
              <w:spacing w:line="300" w:lineRule="exact"/>
              <w:jc w:val="left"/>
              <w:rPr>
                <w:b/>
                <w:color w:val="000000"/>
                <w:kern w:val="0"/>
                <w:szCs w:val="21"/>
              </w:rPr>
            </w:pPr>
            <w:r>
              <w:rPr>
                <w:rFonts w:hint="eastAsia"/>
                <w:b/>
                <w:color w:val="000000"/>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3.</w:t>
            </w:r>
            <w:r>
              <w:rPr>
                <w:rFonts w:hint="eastAsia"/>
                <w:color w:val="000000"/>
                <w:kern w:val="0"/>
                <w:szCs w:val="21"/>
              </w:rPr>
              <w:t>2</w:t>
            </w:r>
            <w:r>
              <w:rPr>
                <w:color w:val="000000"/>
                <w:kern w:val="0"/>
                <w:szCs w:val="21"/>
              </w:rPr>
              <w:t>.1</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建设适合本院特色的安全文化</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院系</w:t>
            </w:r>
            <w:r>
              <w:rPr>
                <w:color w:val="000000"/>
                <w:kern w:val="0"/>
                <w:szCs w:val="21"/>
              </w:rPr>
              <w:t>网页设立专门的板块开展安全宣传、</w:t>
            </w:r>
            <w:r>
              <w:rPr>
                <w:rFonts w:hint="eastAsia"/>
                <w:color w:val="000000"/>
                <w:kern w:val="0"/>
                <w:szCs w:val="21"/>
              </w:rPr>
              <w:t>经验交流等</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3.</w:t>
            </w:r>
            <w:r>
              <w:rPr>
                <w:rFonts w:hint="eastAsia"/>
                <w:color w:val="000000"/>
                <w:kern w:val="0"/>
                <w:szCs w:val="21"/>
              </w:rPr>
              <w:t>2</w:t>
            </w:r>
            <w:r>
              <w:rPr>
                <w:color w:val="000000"/>
                <w:kern w:val="0"/>
                <w:szCs w:val="21"/>
              </w:rPr>
              <w:t>.</w:t>
            </w:r>
            <w:r>
              <w:rPr>
                <w:rFonts w:hint="eastAsia"/>
                <w:color w:val="000000"/>
                <w:kern w:val="0"/>
                <w:szCs w:val="21"/>
              </w:rPr>
              <w:t>3</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创新宣传教育形式，加强</w:t>
            </w:r>
            <w:r>
              <w:rPr>
                <w:color w:val="000000"/>
                <w:kern w:val="0"/>
                <w:szCs w:val="21"/>
              </w:rPr>
              <w:t>安全文化</w:t>
            </w:r>
            <w:r>
              <w:rPr>
                <w:rFonts w:hint="eastAsia"/>
                <w:color w:val="000000"/>
                <w:kern w:val="0"/>
                <w:szCs w:val="21"/>
              </w:rPr>
              <w:t>建设</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通过微信</w:t>
            </w:r>
            <w:r>
              <w:rPr>
                <w:color w:val="000000"/>
                <w:kern w:val="0"/>
                <w:szCs w:val="21"/>
              </w:rPr>
              <w:t>公众号、</w:t>
            </w:r>
            <w:r>
              <w:rPr>
                <w:rFonts w:hint="eastAsia"/>
                <w:color w:val="000000"/>
                <w:kern w:val="0"/>
                <w:szCs w:val="21"/>
              </w:rPr>
              <w:t>安全工作</w:t>
            </w:r>
            <w:r>
              <w:rPr>
                <w:color w:val="000000"/>
                <w:kern w:val="0"/>
                <w:szCs w:val="21"/>
              </w:rPr>
              <w:t>简报、</w:t>
            </w:r>
            <w:r>
              <w:rPr>
                <w:rFonts w:hint="eastAsia"/>
                <w:color w:val="000000"/>
                <w:kern w:val="0"/>
                <w:szCs w:val="21"/>
              </w:rPr>
              <w:t>安全</w:t>
            </w:r>
            <w:r>
              <w:rPr>
                <w:color w:val="000000"/>
                <w:kern w:val="0"/>
                <w:szCs w:val="21"/>
              </w:rPr>
              <w:t>文化月、安全专项整治活动、</w:t>
            </w:r>
            <w:r>
              <w:rPr>
                <w:rFonts w:hint="eastAsia"/>
                <w:color w:val="000000"/>
                <w:kern w:val="0"/>
                <w:szCs w:val="21"/>
              </w:rPr>
              <w:t>实验室安全</w:t>
            </w:r>
            <w:r>
              <w:rPr>
                <w:color w:val="000000"/>
                <w:kern w:val="0"/>
                <w:szCs w:val="21"/>
              </w:rPr>
              <w:t>达标、</w:t>
            </w:r>
            <w:r>
              <w:rPr>
                <w:rFonts w:hint="eastAsia"/>
                <w:color w:val="000000"/>
                <w:kern w:val="0"/>
                <w:szCs w:val="21"/>
              </w:rPr>
              <w:t>实验室</w:t>
            </w:r>
            <w:r>
              <w:rPr>
                <w:color w:val="000000"/>
                <w:kern w:val="0"/>
                <w:szCs w:val="21"/>
              </w:rPr>
              <w:t>安全评估、安全知识竞赛、微电影拍摄等</w:t>
            </w:r>
            <w:r>
              <w:rPr>
                <w:rFonts w:hint="eastAsia"/>
                <w:color w:val="000000"/>
                <w:kern w:val="0"/>
                <w:szCs w:val="21"/>
              </w:rPr>
              <w:t>方式，加强安全宣传</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4</w:t>
            </w:r>
          </w:p>
        </w:tc>
        <w:tc>
          <w:tcPr>
            <w:tcW w:w="14023" w:type="dxa"/>
            <w:gridSpan w:val="3"/>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4.1</w:t>
            </w:r>
          </w:p>
        </w:tc>
        <w:tc>
          <w:tcPr>
            <w:tcW w:w="14023" w:type="dxa"/>
            <w:gridSpan w:val="3"/>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4.1.1</w:t>
            </w:r>
          </w:p>
        </w:tc>
        <w:tc>
          <w:tcPr>
            <w:tcW w:w="3820"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学院层面</w:t>
            </w:r>
            <w:r>
              <w:rPr>
                <w:rFonts w:hint="eastAsia"/>
                <w:bCs/>
                <w:kern w:val="0"/>
                <w:szCs w:val="21"/>
              </w:rPr>
              <w:t>建立危险源分布清单</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清单内容需包括涉及单位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shd w:val="clear" w:color="auto" w:fill="auto"/>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涉及危险源</w:t>
            </w:r>
            <w:r>
              <w:rPr>
                <w:bCs/>
                <w:color w:val="000000"/>
                <w:kern w:val="0"/>
                <w:szCs w:val="21"/>
              </w:rPr>
              <w:t>的实验场所，</w:t>
            </w:r>
            <w:r>
              <w:rPr>
                <w:rFonts w:hint="eastAsia"/>
                <w:bCs/>
                <w:color w:val="000000"/>
                <w:kern w:val="0"/>
                <w:szCs w:val="21"/>
              </w:rPr>
              <w:t>应</w:t>
            </w:r>
            <w:r>
              <w:rPr>
                <w:bCs/>
                <w:color w:val="000000"/>
                <w:kern w:val="0"/>
                <w:szCs w:val="21"/>
              </w:rPr>
              <w:t>有明确的</w:t>
            </w:r>
            <w:r>
              <w:rPr>
                <w:rFonts w:hint="eastAsia"/>
                <w:bCs/>
                <w:color w:val="000000"/>
                <w:kern w:val="0"/>
                <w:szCs w:val="21"/>
              </w:rPr>
              <w:t>警示</w:t>
            </w:r>
            <w:r>
              <w:rPr>
                <w:bCs/>
                <w:color w:val="000000"/>
                <w:kern w:val="0"/>
                <w:szCs w:val="21"/>
              </w:rPr>
              <w:t>标识</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涉及剧毒品、病原微生物、放射性同位素、强磁等高危场所，有显著明确的警示标识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4.1.3</w:t>
            </w:r>
          </w:p>
        </w:tc>
        <w:tc>
          <w:tcPr>
            <w:tcW w:w="382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由实验室建立，报</w:t>
            </w:r>
            <w:r>
              <w:rPr>
                <w:bCs/>
                <w:kern w:val="0"/>
                <w:szCs w:val="21"/>
              </w:rPr>
              <w:t>院系备案</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4.2</w:t>
            </w:r>
          </w:p>
        </w:tc>
        <w:tc>
          <w:tcPr>
            <w:tcW w:w="14023" w:type="dxa"/>
            <w:gridSpan w:val="3"/>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4.2.2</w:t>
            </w:r>
          </w:p>
        </w:tc>
        <w:tc>
          <w:tcPr>
            <w:tcW w:w="382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院系层面开展定期检查</w:t>
            </w:r>
          </w:p>
        </w:tc>
        <w:tc>
          <w:tcPr>
            <w:tcW w:w="7374" w:type="dxa"/>
            <w:shd w:val="clear" w:color="auto" w:fill="auto"/>
            <w:tcMar>
              <w:left w:w="45" w:type="dxa"/>
              <w:right w:w="45" w:type="dxa"/>
            </w:tcMar>
            <w:vAlign w:val="center"/>
          </w:tcPr>
          <w:p>
            <w:pPr>
              <w:spacing w:line="300" w:lineRule="exact"/>
              <w:jc w:val="left"/>
              <w:rPr>
                <w:bCs/>
                <w:kern w:val="0"/>
                <w:szCs w:val="21"/>
              </w:rPr>
            </w:pPr>
            <w:r>
              <w:rPr>
                <w:rFonts w:hint="eastAsia"/>
                <w:kern w:val="0"/>
                <w:szCs w:val="21"/>
              </w:rPr>
              <w:t>建议每月不少于1次，并记录存档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4</w:t>
            </w:r>
            <w:r>
              <w:rPr>
                <w:color w:val="000000"/>
                <w:kern w:val="0"/>
                <w:szCs w:val="21"/>
              </w:rPr>
              <w:t>.</w:t>
            </w:r>
            <w:r>
              <w:rPr>
                <w:rFonts w:hint="eastAsia"/>
                <w:color w:val="000000"/>
                <w:kern w:val="0"/>
                <w:szCs w:val="21"/>
              </w:rPr>
              <w:t>2.3</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针对高危实验物品开展专项检查</w:t>
            </w:r>
          </w:p>
        </w:tc>
        <w:tc>
          <w:tcPr>
            <w:tcW w:w="7374" w:type="dxa"/>
            <w:shd w:val="clear" w:color="auto" w:fill="auto"/>
            <w:tcMar>
              <w:left w:w="45" w:type="dxa"/>
              <w:right w:w="45" w:type="dxa"/>
            </w:tcMar>
            <w:vAlign w:val="center"/>
          </w:tcPr>
          <w:p>
            <w:pPr>
              <w:spacing w:line="300" w:lineRule="exact"/>
              <w:jc w:val="left"/>
              <w:rPr>
                <w:bCs/>
                <w:color w:val="000000"/>
                <w:kern w:val="0"/>
                <w:szCs w:val="21"/>
              </w:rPr>
            </w:pPr>
            <w:r>
              <w:rPr>
                <w:rFonts w:hint="eastAsia"/>
                <w:color w:val="000000"/>
                <w:kern w:val="0"/>
                <w:szCs w:val="21"/>
              </w:rPr>
              <w:t>针对剧毒品、</w:t>
            </w:r>
            <w:r>
              <w:rPr>
                <w:color w:val="000000"/>
                <w:kern w:val="0"/>
                <w:szCs w:val="21"/>
              </w:rPr>
              <w:t>病原微生物、</w:t>
            </w:r>
            <w:r>
              <w:rPr>
                <w:rFonts w:hint="eastAsia"/>
                <w:color w:val="000000"/>
                <w:kern w:val="0"/>
                <w:szCs w:val="21"/>
              </w:rPr>
              <w:t>放射源等，开展定期专项检查</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4.2.4</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房间须建立值日台账</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检查水电气门窗等，并签字</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.2.5</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shd w:val="clear" w:color="auto" w:fill="auto"/>
            <w:tcMar>
              <w:left w:w="45" w:type="dxa"/>
              <w:right w:w="45" w:type="dxa"/>
            </w:tcMar>
            <w:vAlign w:val="center"/>
          </w:tcPr>
          <w:p>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4.3</w:t>
            </w:r>
          </w:p>
        </w:tc>
        <w:tc>
          <w:tcPr>
            <w:tcW w:w="14023" w:type="dxa"/>
            <w:gridSpan w:val="3"/>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4</w:t>
            </w:r>
            <w:r>
              <w:rPr>
                <w:color w:val="000000"/>
                <w:kern w:val="0"/>
                <w:szCs w:val="21"/>
              </w:rPr>
              <w:t>.3.1</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检查</w:t>
            </w:r>
            <w:r>
              <w:rPr>
                <w:rFonts w:hint="eastAsia"/>
                <w:color w:val="000000"/>
                <w:kern w:val="0"/>
                <w:szCs w:val="21"/>
              </w:rPr>
              <w:t>中发现的</w:t>
            </w:r>
            <w:r>
              <w:rPr>
                <w:color w:val="000000"/>
                <w:kern w:val="0"/>
                <w:szCs w:val="21"/>
              </w:rPr>
              <w:t>问题</w:t>
            </w:r>
            <w:r>
              <w:rPr>
                <w:rFonts w:hint="eastAsia"/>
                <w:color w:val="000000"/>
                <w:kern w:val="0"/>
                <w:szCs w:val="21"/>
              </w:rPr>
              <w:t>应以书面形式通知到相关负责人</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通知的方式包括校网上公告、实验室安全简报、整改通知书等形式。其中整改通知书要包含问题描述、整改要求和期限、职能部门盖章等，并由被</w:t>
            </w:r>
            <w:r>
              <w:rPr>
                <w:bCs/>
                <w:color w:val="000000"/>
                <w:kern w:val="0"/>
                <w:szCs w:val="21"/>
              </w:rPr>
              <w:t>查院系单位签收</w:t>
            </w:r>
            <w:r>
              <w:rPr>
                <w:rFonts w:hint="eastAsia"/>
                <w:bCs/>
                <w:color w:val="000000"/>
                <w:kern w:val="0"/>
                <w:szCs w:val="21"/>
              </w:rPr>
              <w:t>；修改</w:t>
            </w:r>
            <w:r>
              <w:rPr>
                <w:bCs/>
                <w:color w:val="000000"/>
                <w:kern w:val="0"/>
                <w:szCs w:val="21"/>
              </w:rPr>
              <w:t>资料规范存档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4</w:t>
            </w:r>
            <w:r>
              <w:rPr>
                <w:color w:val="000000"/>
                <w:kern w:val="0"/>
                <w:szCs w:val="21"/>
              </w:rPr>
              <w:t>.3.2</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院系应对问题隐患的进行及时</w:t>
            </w:r>
            <w:r>
              <w:rPr>
                <w:color w:val="000000"/>
                <w:kern w:val="0"/>
                <w:szCs w:val="21"/>
              </w:rPr>
              <w:t>整改</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整改报告应</w:t>
            </w:r>
            <w:r>
              <w:rPr>
                <w:color w:val="000000"/>
                <w:kern w:val="0"/>
                <w:szCs w:val="21"/>
              </w:rPr>
              <w:t>在规定时间内提交</w:t>
            </w:r>
            <w:r>
              <w:rPr>
                <w:rFonts w:hint="eastAsia"/>
                <w:color w:val="000000"/>
                <w:kern w:val="0"/>
                <w:szCs w:val="21"/>
              </w:rPr>
              <w:t>学校管理</w:t>
            </w:r>
            <w:r>
              <w:rPr>
                <w:color w:val="000000"/>
                <w:kern w:val="0"/>
                <w:szCs w:val="21"/>
              </w:rPr>
              <w:t>部门</w:t>
            </w:r>
            <w:r>
              <w:rPr>
                <w:rFonts w:hint="eastAsia"/>
                <w:color w:val="000000"/>
                <w:kern w:val="0"/>
                <w:szCs w:val="21"/>
              </w:rPr>
              <w:t>，并归档；如存在重大</w:t>
            </w:r>
            <w:r>
              <w:rPr>
                <w:color w:val="000000"/>
                <w:kern w:val="0"/>
                <w:szCs w:val="21"/>
              </w:rPr>
              <w:t>隐患，实验室</w:t>
            </w:r>
            <w:r>
              <w:rPr>
                <w:rFonts w:hint="eastAsia"/>
                <w:color w:val="000000"/>
                <w:kern w:val="0"/>
                <w:szCs w:val="21"/>
              </w:rPr>
              <w:t>应立即</w:t>
            </w:r>
            <w:r>
              <w:rPr>
                <w:color w:val="000000"/>
                <w:kern w:val="0"/>
                <w:szCs w:val="21"/>
              </w:rPr>
              <w:t>停止实验活动</w:t>
            </w:r>
            <w:r>
              <w:rPr>
                <w:rFonts w:hint="eastAsia"/>
                <w:color w:val="000000"/>
                <w:kern w:val="0"/>
                <w:szCs w:val="21"/>
              </w:rPr>
              <w:t>，采取相应防范措施或整改完成后方能恢复实验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4.4</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4.4.</w:t>
            </w:r>
            <w:r>
              <w:rPr>
                <w:kern w:val="0"/>
                <w:szCs w:val="21"/>
              </w:rPr>
              <w:t>2</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院系有安全检查及整改记录</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查看相应存档内容</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5</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b/>
                <w:kern w:val="0"/>
                <w:szCs w:val="21"/>
              </w:rPr>
            </w:pPr>
            <w:r>
              <w:rPr>
                <w:b/>
                <w:kern w:val="0"/>
                <w:szCs w:val="21"/>
              </w:rPr>
              <w:t>5.1</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b/>
                <w:kern w:val="0"/>
                <w:szCs w:val="21"/>
              </w:rPr>
              <w:t>场所</w:t>
            </w:r>
            <w:r>
              <w:rPr>
                <w:rFonts w:hint="eastAsia"/>
                <w:b/>
                <w:kern w:val="0"/>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等线"/>
                <w:szCs w:val="21"/>
              </w:rPr>
            </w:pPr>
            <w:r>
              <w:rPr>
                <w:rFonts w:hint="eastAsia" w:eastAsia="等线"/>
                <w:szCs w:val="21"/>
              </w:rPr>
              <w:t>5</w:t>
            </w:r>
            <w:r>
              <w:rPr>
                <w:rFonts w:eastAsia="等线"/>
                <w:szCs w:val="21"/>
              </w:rPr>
              <w:t>.1.1</w:t>
            </w:r>
          </w:p>
        </w:tc>
        <w:tc>
          <w:tcPr>
            <w:tcW w:w="3820" w:type="dxa"/>
            <w:shd w:val="clear" w:color="auto" w:fill="auto"/>
            <w:tcMar>
              <w:left w:w="45" w:type="dxa"/>
              <w:right w:w="45" w:type="dxa"/>
            </w:tcMar>
            <w:vAlign w:val="center"/>
          </w:tcPr>
          <w:p>
            <w:pPr>
              <w:widowControl/>
              <w:spacing w:line="300" w:lineRule="exact"/>
              <w:jc w:val="left"/>
              <w:rPr>
                <w:szCs w:val="21"/>
              </w:rPr>
            </w:pPr>
            <w:r>
              <w:rPr>
                <w:rFonts w:hint="eastAsia"/>
                <w:szCs w:val="21"/>
              </w:rPr>
              <w:t>有危险源的实验场所应张贴安全信息牌</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eastAsia="等线"/>
                <w:szCs w:val="21"/>
              </w:rPr>
              <w:t>5.1.2</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实验场所应具备合理的安全空间布局</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szCs w:val="21"/>
              </w:rPr>
              <w:t>建议超过</w:t>
            </w:r>
            <w:r>
              <w:rPr>
                <w:szCs w:val="21"/>
              </w:rPr>
              <w:t>200</w:t>
            </w:r>
            <w:r>
              <w:rPr>
                <w:rFonts w:hint="eastAsia"/>
                <w:szCs w:val="21"/>
              </w:rPr>
              <w:t>平方米的实验楼层具有至少两处紧急出口，</w:t>
            </w:r>
            <w:r>
              <w:rPr>
                <w:szCs w:val="21"/>
              </w:rPr>
              <w:t>75</w:t>
            </w:r>
            <w:r>
              <w:rPr>
                <w:rFonts w:hint="eastAsia"/>
                <w:szCs w:val="21"/>
              </w:rPr>
              <w:t>平方米以上实验室要有两扇门；实验楼大走廊保证留有大于2.0米净宽的消防通道；实验室</w:t>
            </w:r>
            <w:r>
              <w:rPr>
                <w:szCs w:val="21"/>
              </w:rPr>
              <w:t>操作区层高不低于</w:t>
            </w:r>
            <w:r>
              <w:rPr>
                <w:rFonts w:hint="eastAsia"/>
                <w:szCs w:val="21"/>
              </w:rPr>
              <w:t>2米；理工农医类实验室人均面积不小于2.5平方米</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rFonts w:eastAsia="等线"/>
                <w:szCs w:val="21"/>
              </w:rPr>
              <w:t>5.1.3</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实验室消防通道通畅，公共场所不堆放仪器和物品</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rFonts w:eastAsia="等线"/>
                <w:szCs w:val="21"/>
              </w:rPr>
              <w:t>5.1.4</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实验室建设和装修应符合消防安全要求</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szCs w:val="21"/>
              </w:rPr>
              <w:t>实验操作台应选用合格的防火、防腐材料；仪器设备安装符合建筑物承重载荷；有可燃气体的实验室不建议设吊顶；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rFonts w:eastAsia="等线"/>
                <w:szCs w:val="21"/>
              </w:rPr>
            </w:pPr>
            <w:r>
              <w:rPr>
                <w:rFonts w:eastAsia="等线"/>
                <w:szCs w:val="21"/>
              </w:rPr>
              <w:t>5.1.</w:t>
            </w:r>
            <w:r>
              <w:rPr>
                <w:rFonts w:hint="eastAsia" w:eastAsia="等线"/>
                <w:szCs w:val="21"/>
              </w:rPr>
              <w:t>5</w:t>
            </w:r>
          </w:p>
        </w:tc>
        <w:tc>
          <w:tcPr>
            <w:tcW w:w="3820" w:type="dxa"/>
            <w:shd w:val="clear" w:color="auto" w:fill="auto"/>
            <w:tcMar>
              <w:left w:w="45" w:type="dxa"/>
              <w:right w:w="45" w:type="dxa"/>
            </w:tcMar>
            <w:vAlign w:val="center"/>
          </w:tcPr>
          <w:p>
            <w:pPr>
              <w:widowControl/>
              <w:spacing w:line="300" w:lineRule="exact"/>
              <w:jc w:val="left"/>
              <w:rPr>
                <w:szCs w:val="21"/>
              </w:rPr>
            </w:pPr>
            <w:r>
              <w:rPr>
                <w:rFonts w:hint="eastAsia"/>
                <w:szCs w:val="21"/>
              </w:rPr>
              <w:t>实验室所有房间均须配有应急备用钥匙</w:t>
            </w:r>
          </w:p>
        </w:tc>
        <w:tc>
          <w:tcPr>
            <w:tcW w:w="7374" w:type="dxa"/>
            <w:shd w:val="clear" w:color="auto" w:fill="auto"/>
            <w:tcMar>
              <w:left w:w="45" w:type="dxa"/>
              <w:right w:w="45" w:type="dxa"/>
            </w:tcMar>
            <w:vAlign w:val="center"/>
          </w:tcPr>
          <w:p>
            <w:pPr>
              <w:widowControl/>
              <w:spacing w:line="300" w:lineRule="exact"/>
              <w:jc w:val="left"/>
              <w:rPr>
                <w:bCs/>
                <w:szCs w:val="21"/>
              </w:rPr>
            </w:pPr>
            <w:r>
              <w:rPr>
                <w:rFonts w:hint="eastAsia"/>
                <w:szCs w:val="21"/>
              </w:rPr>
              <w:t>应急备用钥匙需集中存放、专人管理，应急时方便取用</w:t>
            </w:r>
          </w:p>
        </w:tc>
        <w:tc>
          <w:tcPr>
            <w:tcW w:w="2829" w:type="dxa"/>
            <w:tcMar>
              <w:left w:w="45" w:type="dxa"/>
              <w:right w:w="45" w:type="dxa"/>
            </w:tcMar>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kern w:val="0"/>
                <w:szCs w:val="21"/>
              </w:rPr>
            </w:pPr>
            <w:r>
              <w:rPr>
                <w:rFonts w:eastAsia="等线"/>
                <w:szCs w:val="21"/>
              </w:rPr>
              <w:t>5.1.6</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实验设备需做好振动和噪音的屏蔽</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szCs w:val="21"/>
              </w:rPr>
              <w:t>容易产生振动的设备，需考虑振动源的屏蔽；易对外产生磁场或易受磁场干扰的设备，需做好磁屏蔽；实验室噪声一般低于55分贝（机械设备可低于70分贝）</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rFonts w:eastAsia="等线"/>
                <w:kern w:val="0"/>
                <w:szCs w:val="21"/>
              </w:rPr>
            </w:pPr>
            <w:r>
              <w:rPr>
                <w:rFonts w:eastAsia="等线"/>
                <w:szCs w:val="21"/>
              </w:rPr>
              <w:t>5.1.7</w:t>
            </w:r>
          </w:p>
        </w:tc>
        <w:tc>
          <w:tcPr>
            <w:tcW w:w="3820" w:type="dxa"/>
            <w:shd w:val="clear" w:color="auto" w:fill="auto"/>
            <w:tcMar>
              <w:left w:w="45" w:type="dxa"/>
              <w:right w:w="45" w:type="dxa"/>
            </w:tcMar>
            <w:vAlign w:val="center"/>
          </w:tcPr>
          <w:p>
            <w:pPr>
              <w:spacing w:line="300" w:lineRule="exact"/>
              <w:jc w:val="left"/>
              <w:rPr>
                <w:rFonts w:ascii="宋体" w:hAnsi="宋体" w:cs="宋体"/>
                <w:szCs w:val="21"/>
              </w:rPr>
            </w:pPr>
            <w:r>
              <w:rPr>
                <w:rFonts w:hint="eastAsia"/>
                <w:szCs w:val="21"/>
              </w:rPr>
              <w:t>实验室水、电、气管线布局合理，安装施工规范</w:t>
            </w:r>
          </w:p>
        </w:tc>
        <w:tc>
          <w:tcPr>
            <w:tcW w:w="7374" w:type="dxa"/>
            <w:shd w:val="clear" w:color="auto" w:fill="auto"/>
            <w:tcMar>
              <w:left w:w="45" w:type="dxa"/>
              <w:right w:w="45" w:type="dxa"/>
            </w:tcMar>
            <w:vAlign w:val="center"/>
          </w:tcPr>
          <w:p>
            <w:pPr>
              <w:spacing w:line="300" w:lineRule="exact"/>
              <w:jc w:val="left"/>
              <w:rPr>
                <w:bCs/>
                <w:szCs w:val="21"/>
              </w:rPr>
            </w:pPr>
            <w:r>
              <w:rPr>
                <w:rFonts w:hint="eastAsia"/>
                <w:szCs w:val="21"/>
              </w:rPr>
              <w:t>采用管道供气的实验室，输气管道及阀门无破损现象，并有明确标识</w:t>
            </w:r>
            <w:r>
              <w:rPr>
                <w:rFonts w:hint="eastAsia"/>
                <w:bCs/>
                <w:szCs w:val="21"/>
              </w:rPr>
              <w:t>；供气管道有标识，无破损；</w:t>
            </w:r>
            <w:r>
              <w:rPr>
                <w:rFonts w:hint="eastAsia"/>
                <w:szCs w:val="21"/>
              </w:rPr>
              <w:t>高温、明火设备放置位置与可燃气体管道有安全间隔距离</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rPr>
                <w:b/>
                <w:kern w:val="0"/>
                <w:szCs w:val="21"/>
              </w:rPr>
            </w:pPr>
            <w:r>
              <w:rPr>
                <w:b/>
                <w:kern w:val="0"/>
                <w:szCs w:val="21"/>
              </w:rPr>
              <w:t>5.2</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b/>
                <w:kern w:val="0"/>
                <w:szCs w:val="21"/>
              </w:rPr>
              <w:t>卫生与</w:t>
            </w:r>
            <w:r>
              <w:rPr>
                <w:rFonts w:hint="eastAsia"/>
                <w:b/>
                <w:kern w:val="0"/>
                <w:szCs w:val="21"/>
              </w:rPr>
              <w:t>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等线"/>
                <w:kern w:val="0"/>
                <w:szCs w:val="21"/>
              </w:rPr>
            </w:pPr>
            <w:r>
              <w:rPr>
                <w:rFonts w:eastAsia="等线"/>
                <w:szCs w:val="21"/>
              </w:rPr>
              <w:t>5.</w:t>
            </w:r>
            <w:r>
              <w:rPr>
                <w:rFonts w:hint="eastAsia" w:eastAsia="等线"/>
                <w:szCs w:val="21"/>
              </w:rPr>
              <w:t>2</w:t>
            </w:r>
            <w:r>
              <w:rPr>
                <w:rFonts w:eastAsia="等线"/>
                <w:szCs w:val="21"/>
              </w:rPr>
              <w:t>.1</w:t>
            </w:r>
          </w:p>
        </w:tc>
        <w:tc>
          <w:tcPr>
            <w:tcW w:w="382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实验室分区应相对独立，布局合理</w:t>
            </w:r>
          </w:p>
        </w:tc>
        <w:tc>
          <w:tcPr>
            <w:tcW w:w="7374" w:type="dxa"/>
            <w:shd w:val="clear" w:color="auto" w:fill="auto"/>
            <w:tcMar>
              <w:left w:w="45" w:type="dxa"/>
              <w:right w:w="45" w:type="dxa"/>
            </w:tcMar>
            <w:vAlign w:val="center"/>
          </w:tcPr>
          <w:p>
            <w:pPr>
              <w:spacing w:line="300" w:lineRule="exact"/>
              <w:jc w:val="left"/>
              <w:rPr>
                <w:bCs/>
                <w:szCs w:val="21"/>
              </w:rPr>
            </w:pPr>
            <w:r>
              <w:rPr>
                <w:rFonts w:hint="eastAsia"/>
                <w:szCs w:val="21"/>
              </w:rPr>
              <w:t>有毒有害实验区与学习区明确分开，合理布局</w:t>
            </w:r>
            <w:r>
              <w:rPr>
                <w:rFonts w:hint="eastAsia"/>
                <w:bCs/>
                <w:szCs w:val="21"/>
              </w:rPr>
              <w:t>重点关注化学</w:t>
            </w:r>
            <w:r>
              <w:rPr>
                <w:bCs/>
                <w:szCs w:val="21"/>
              </w:rPr>
              <w:t>、生物类实验室</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rFonts w:eastAsia="等线"/>
                <w:szCs w:val="21"/>
              </w:rPr>
            </w:pPr>
            <w:r>
              <w:rPr>
                <w:rFonts w:eastAsia="等线"/>
                <w:szCs w:val="21"/>
              </w:rPr>
              <w:t>5.</w:t>
            </w:r>
            <w:r>
              <w:rPr>
                <w:rFonts w:hint="eastAsia" w:eastAsia="等线"/>
                <w:szCs w:val="21"/>
              </w:rPr>
              <w:t>2</w:t>
            </w:r>
            <w:r>
              <w:rPr>
                <w:rFonts w:eastAsia="等线"/>
                <w:szCs w:val="21"/>
              </w:rPr>
              <w:t>.2</w:t>
            </w:r>
          </w:p>
        </w:tc>
        <w:tc>
          <w:tcPr>
            <w:tcW w:w="3820" w:type="dxa"/>
            <w:shd w:val="clear" w:color="auto" w:fill="auto"/>
            <w:tcMar>
              <w:left w:w="45" w:type="dxa"/>
              <w:right w:w="45" w:type="dxa"/>
            </w:tcMar>
            <w:vAlign w:val="center"/>
          </w:tcPr>
          <w:p>
            <w:pPr>
              <w:spacing w:line="300" w:lineRule="exact"/>
              <w:rPr>
                <w:rFonts w:ascii="宋体" w:hAnsi="宋体" w:cs="宋体"/>
                <w:szCs w:val="21"/>
              </w:rPr>
            </w:pPr>
            <w:r>
              <w:rPr>
                <w:rFonts w:hint="eastAsia"/>
                <w:bCs/>
                <w:szCs w:val="21"/>
              </w:rPr>
              <w:t>实验室环境应整洁卫生有序</w:t>
            </w:r>
          </w:p>
        </w:tc>
        <w:tc>
          <w:tcPr>
            <w:tcW w:w="7374" w:type="dxa"/>
            <w:shd w:val="clear" w:color="auto" w:fill="auto"/>
            <w:tcMar>
              <w:left w:w="45" w:type="dxa"/>
              <w:right w:w="45" w:type="dxa"/>
            </w:tcMar>
            <w:vAlign w:val="center"/>
          </w:tcPr>
          <w:p>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不在实验室睡觉过夜，不存放和烧煮食物、饮食，化学生物类实验室不准吸烟、使用可燃性蚊香</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rFonts w:eastAsia="等线"/>
                <w:szCs w:val="21"/>
              </w:rPr>
            </w:pPr>
            <w:r>
              <w:rPr>
                <w:rFonts w:eastAsia="等线"/>
                <w:szCs w:val="21"/>
              </w:rPr>
              <w:t>5.</w:t>
            </w:r>
            <w:r>
              <w:rPr>
                <w:rFonts w:hint="eastAsia" w:eastAsia="等线"/>
                <w:szCs w:val="21"/>
              </w:rPr>
              <w:t>2</w:t>
            </w:r>
            <w:r>
              <w:rPr>
                <w:rFonts w:eastAsia="等线"/>
                <w:szCs w:val="21"/>
              </w:rPr>
              <w:t>.3</w:t>
            </w:r>
          </w:p>
        </w:tc>
        <w:tc>
          <w:tcPr>
            <w:tcW w:w="3820" w:type="dxa"/>
            <w:shd w:val="clear" w:color="auto" w:fill="auto"/>
            <w:tcMar>
              <w:left w:w="45" w:type="dxa"/>
              <w:right w:w="45" w:type="dxa"/>
            </w:tcMar>
            <w:vAlign w:val="center"/>
          </w:tcPr>
          <w:p>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shd w:val="clear" w:color="auto" w:fill="auto"/>
            <w:tcMar>
              <w:left w:w="45" w:type="dxa"/>
              <w:right w:w="45" w:type="dxa"/>
            </w:tcMar>
            <w:vAlign w:val="center"/>
          </w:tcPr>
          <w:p>
            <w:pPr>
              <w:spacing w:line="300" w:lineRule="exact"/>
              <w:jc w:val="left"/>
              <w:rPr>
                <w:bCs/>
                <w:szCs w:val="21"/>
              </w:rPr>
            </w:pPr>
            <w:r>
              <w:rPr>
                <w:rFonts w:hint="eastAsia"/>
                <w:bCs/>
                <w:szCs w:val="21"/>
              </w:rPr>
              <w:t>实验期间人员必须在岗，并有值日情况记录</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b/>
                <w:kern w:val="0"/>
                <w:szCs w:val="21"/>
              </w:rPr>
              <w:t>场所其它安全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rFonts w:eastAsia="等线"/>
                <w:kern w:val="0"/>
                <w:szCs w:val="21"/>
              </w:rPr>
            </w:pPr>
            <w:r>
              <w:rPr>
                <w:rFonts w:eastAsia="等线"/>
                <w:szCs w:val="21"/>
              </w:rPr>
              <w:t>5</w:t>
            </w:r>
            <w:r>
              <w:rPr>
                <w:rFonts w:hint="eastAsia" w:eastAsia="等线"/>
                <w:szCs w:val="21"/>
              </w:rPr>
              <w:t>.3</w:t>
            </w:r>
            <w:r>
              <w:rPr>
                <w:rFonts w:eastAsia="等线"/>
                <w:szCs w:val="21"/>
              </w:rPr>
              <w:t>.1</w:t>
            </w:r>
          </w:p>
        </w:tc>
        <w:tc>
          <w:tcPr>
            <w:tcW w:w="3820" w:type="dxa"/>
            <w:shd w:val="clear" w:color="auto" w:fill="auto"/>
            <w:tcMar>
              <w:left w:w="45" w:type="dxa"/>
              <w:right w:w="45" w:type="dxa"/>
            </w:tcMar>
            <w:vAlign w:val="center"/>
          </w:tcPr>
          <w:p>
            <w:pPr>
              <w:spacing w:line="300" w:lineRule="exact"/>
              <w:rPr>
                <w:rFonts w:ascii="宋体" w:hAnsi="宋体" w:cs="宋体"/>
                <w:szCs w:val="21"/>
              </w:rPr>
            </w:pPr>
            <w:r>
              <w:t>每间实验室均有编号并登记造册</w:t>
            </w:r>
          </w:p>
        </w:tc>
        <w:tc>
          <w:tcPr>
            <w:tcW w:w="7374" w:type="dxa"/>
            <w:shd w:val="clear" w:color="auto" w:fill="auto"/>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等线"/>
                <w:szCs w:val="21"/>
              </w:rPr>
            </w:pPr>
            <w:r>
              <w:rPr>
                <w:rFonts w:eastAsia="等线"/>
                <w:szCs w:val="21"/>
              </w:rPr>
              <w:t>5.</w:t>
            </w:r>
            <w:r>
              <w:rPr>
                <w:rFonts w:hint="eastAsia" w:eastAsia="等线"/>
                <w:szCs w:val="21"/>
              </w:rPr>
              <w:t>3</w:t>
            </w:r>
            <w:r>
              <w:rPr>
                <w:rFonts w:eastAsia="等线"/>
                <w:szCs w:val="21"/>
              </w:rPr>
              <w:t>.2</w:t>
            </w:r>
          </w:p>
        </w:tc>
        <w:tc>
          <w:tcPr>
            <w:tcW w:w="382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危险性实验室应配备急救物品</w:t>
            </w:r>
          </w:p>
        </w:tc>
        <w:tc>
          <w:tcPr>
            <w:tcW w:w="7374" w:type="dxa"/>
            <w:shd w:val="clear" w:color="auto" w:fill="auto"/>
            <w:tcMar>
              <w:left w:w="45" w:type="dxa"/>
              <w:right w:w="45" w:type="dxa"/>
            </w:tcMar>
            <w:vAlign w:val="center"/>
          </w:tcPr>
          <w:p>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jc w:val="left"/>
              <w:rPr>
                <w:rFonts w:eastAsia="等线"/>
                <w:szCs w:val="21"/>
              </w:rPr>
            </w:pPr>
            <w:r>
              <w:rPr>
                <w:rFonts w:eastAsia="等线"/>
                <w:szCs w:val="21"/>
              </w:rPr>
              <w:t>5.</w:t>
            </w:r>
            <w:r>
              <w:rPr>
                <w:rFonts w:hint="eastAsia" w:eastAsia="等线"/>
                <w:szCs w:val="21"/>
              </w:rPr>
              <w:t>3</w:t>
            </w:r>
            <w:r>
              <w:rPr>
                <w:rFonts w:eastAsia="等线"/>
                <w:szCs w:val="21"/>
              </w:rPr>
              <w:t>.3</w:t>
            </w:r>
          </w:p>
        </w:tc>
        <w:tc>
          <w:tcPr>
            <w:tcW w:w="3820" w:type="dxa"/>
            <w:shd w:val="clear" w:color="auto" w:fill="auto"/>
            <w:tcMar>
              <w:left w:w="45" w:type="dxa"/>
              <w:right w:w="45" w:type="dxa"/>
            </w:tcMar>
            <w:vAlign w:val="center"/>
          </w:tcPr>
          <w:p>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shd w:val="clear" w:color="auto" w:fill="auto"/>
            <w:tcMar>
              <w:left w:w="45" w:type="dxa"/>
              <w:right w:w="45" w:type="dxa"/>
            </w:tcMar>
            <w:vAlign w:val="center"/>
          </w:tcPr>
          <w:p>
            <w:pPr>
              <w:spacing w:line="300" w:lineRule="exact"/>
              <w:jc w:val="left"/>
              <w:rPr>
                <w:bCs/>
                <w:szCs w:val="21"/>
              </w:rPr>
            </w:pPr>
            <w:r>
              <w:rPr>
                <w:rFonts w:hint="eastAsia"/>
                <w:szCs w:val="21"/>
              </w:rPr>
              <w:t>具有</w:t>
            </w:r>
            <w:r>
              <w:rPr>
                <w:szCs w:val="21"/>
              </w:rPr>
              <w:t>危险隐患的实验室及设备在拆除前必须做好安全论证</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6</w:t>
            </w:r>
          </w:p>
        </w:tc>
        <w:tc>
          <w:tcPr>
            <w:tcW w:w="14023" w:type="dxa"/>
            <w:gridSpan w:val="3"/>
            <w:shd w:val="clear" w:color="auto" w:fill="auto"/>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6.1</w:t>
            </w:r>
          </w:p>
        </w:tc>
        <w:tc>
          <w:tcPr>
            <w:tcW w:w="14023" w:type="dxa"/>
            <w:gridSpan w:val="3"/>
            <w:shd w:val="clear" w:color="auto" w:fill="auto"/>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rFonts w:eastAsia="等线"/>
                <w:szCs w:val="21"/>
              </w:rPr>
            </w:pPr>
            <w:r>
              <w:rPr>
                <w:rFonts w:hint="eastAsia" w:eastAsia="等线"/>
                <w:szCs w:val="21"/>
              </w:rPr>
              <w:t>6</w:t>
            </w:r>
            <w:r>
              <w:rPr>
                <w:rFonts w:eastAsia="等线"/>
                <w:szCs w:val="21"/>
              </w:rPr>
              <w:t>.1.1</w:t>
            </w:r>
          </w:p>
        </w:tc>
        <w:tc>
          <w:tcPr>
            <w:tcW w:w="3820" w:type="dxa"/>
            <w:shd w:val="clear" w:color="auto" w:fill="auto"/>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实验室应配备合适的灭火设备，并定期开展使用训练</w:t>
            </w:r>
          </w:p>
        </w:tc>
        <w:tc>
          <w:tcPr>
            <w:tcW w:w="7374" w:type="dxa"/>
            <w:shd w:val="clear" w:color="auto" w:fill="auto"/>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实验室内烟感</w:t>
            </w:r>
            <w:r>
              <w:rPr>
                <w:rFonts w:ascii="宋体" w:hAnsi="宋体"/>
                <w:kern w:val="0"/>
                <w:szCs w:val="21"/>
              </w:rPr>
              <w:t>报警器、</w:t>
            </w:r>
            <w:r>
              <w:rPr>
                <w:rFonts w:hint="eastAsia" w:ascii="宋体" w:hAnsi="宋体"/>
                <w:kern w:val="0"/>
                <w:szCs w:val="21"/>
              </w:rPr>
              <w:t>灭火器、灭火毯、消防沙桶、消防喷淋等，应正常有效、</w:t>
            </w:r>
            <w:r>
              <w:rPr>
                <w:rFonts w:ascii="宋体" w:hAnsi="宋体"/>
                <w:kern w:val="0"/>
                <w:szCs w:val="21"/>
              </w:rPr>
              <w:t>方便取用</w:t>
            </w:r>
            <w:r>
              <w:rPr>
                <w:rFonts w:hint="eastAsia" w:ascii="宋体" w:hAnsi="宋体"/>
                <w:kern w:val="0"/>
                <w:szCs w:val="21"/>
              </w:rPr>
              <w:t>；灭火器种类配置正确；灭火器在有效期内（压力指针</w:t>
            </w:r>
            <w:r>
              <w:rPr>
                <w:rFonts w:ascii="宋体" w:hAnsi="宋体"/>
                <w:kern w:val="0"/>
                <w:szCs w:val="21"/>
              </w:rPr>
              <w:t>位置</w:t>
            </w:r>
            <w:r>
              <w:rPr>
                <w:rFonts w:hint="eastAsia" w:ascii="宋体" w:hAnsi="宋体"/>
                <w:kern w:val="0"/>
                <w:szCs w:val="21"/>
              </w:rPr>
              <w:t>正常等），安全销（拉针）正常，瓶身无破损、腐蚀；</w:t>
            </w:r>
            <w:r>
              <w:rPr>
                <w:rFonts w:ascii="宋体" w:hAnsi="宋体"/>
                <w:bCs/>
                <w:kern w:val="0"/>
                <w:szCs w:val="21"/>
              </w:rPr>
              <w:t>公共</w:t>
            </w:r>
            <w:r>
              <w:rPr>
                <w:rFonts w:hint="eastAsia" w:ascii="宋体" w:hAnsi="宋体"/>
                <w:bCs/>
                <w:kern w:val="0"/>
                <w:szCs w:val="21"/>
              </w:rPr>
              <w:t>区域</w:t>
            </w:r>
            <w:r>
              <w:rPr>
                <w:rFonts w:ascii="宋体" w:hAnsi="宋体"/>
                <w:bCs/>
                <w:kern w:val="0"/>
                <w:szCs w:val="21"/>
              </w:rPr>
              <w:t>灭火器数量</w:t>
            </w:r>
            <w:r>
              <w:rPr>
                <w:rFonts w:hint="eastAsia" w:ascii="宋体" w:hAnsi="宋体"/>
                <w:bCs/>
                <w:kern w:val="0"/>
                <w:szCs w:val="21"/>
              </w:rPr>
              <w:t>（间距）</w:t>
            </w:r>
            <w:r>
              <w:rPr>
                <w:rFonts w:ascii="宋体" w:hAnsi="宋体"/>
                <w:bCs/>
                <w:kern w:val="0"/>
                <w:szCs w:val="21"/>
              </w:rPr>
              <w:t>与</w:t>
            </w:r>
            <w:r>
              <w:rPr>
                <w:rFonts w:hint="eastAsia" w:ascii="宋体" w:hAnsi="宋体"/>
                <w:bCs/>
                <w:kern w:val="0"/>
                <w:szCs w:val="21"/>
              </w:rPr>
              <w:t>实验室</w:t>
            </w:r>
            <w:r>
              <w:rPr>
                <w:rFonts w:ascii="宋体" w:hAnsi="宋体"/>
                <w:bCs/>
                <w:kern w:val="0"/>
                <w:szCs w:val="21"/>
              </w:rPr>
              <w:t>安全等级</w:t>
            </w:r>
            <w:r>
              <w:rPr>
                <w:rFonts w:hint="eastAsia" w:ascii="宋体" w:hAnsi="宋体"/>
                <w:bCs/>
                <w:kern w:val="0"/>
                <w:szCs w:val="21"/>
              </w:rPr>
              <w:t>相</w:t>
            </w:r>
            <w:r>
              <w:rPr>
                <w:rFonts w:ascii="宋体" w:hAnsi="宋体"/>
                <w:bCs/>
                <w:kern w:val="0"/>
                <w:szCs w:val="21"/>
              </w:rPr>
              <w:t>适应</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rFonts w:eastAsia="等线"/>
                <w:szCs w:val="21"/>
              </w:rPr>
            </w:pPr>
            <w:r>
              <w:rPr>
                <w:rFonts w:hint="eastAsia" w:eastAsia="等线"/>
                <w:szCs w:val="21"/>
              </w:rPr>
              <w:t>6</w:t>
            </w:r>
            <w:r>
              <w:rPr>
                <w:rFonts w:eastAsia="等线"/>
                <w:szCs w:val="21"/>
              </w:rPr>
              <w:t>.1.</w:t>
            </w:r>
            <w:r>
              <w:rPr>
                <w:rFonts w:hint="eastAsia" w:eastAsia="等线"/>
                <w:szCs w:val="21"/>
              </w:rPr>
              <w:t>2</w:t>
            </w:r>
          </w:p>
        </w:tc>
        <w:tc>
          <w:tcPr>
            <w:tcW w:w="3820" w:type="dxa"/>
            <w:shd w:val="clear" w:color="auto" w:fill="auto"/>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在显著位置张贴有紧急逃生疏散路线图</w:t>
            </w:r>
          </w:p>
        </w:tc>
        <w:tc>
          <w:tcPr>
            <w:tcW w:w="7374" w:type="dxa"/>
            <w:shd w:val="clear" w:color="auto" w:fill="auto"/>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图上逃生路线应有二条以上；路线与现场情况符合；主要逃生路径（室内、楼梯、通道和出口处）有足够的紧急照明灯，功能正常；师生应熟悉紧急疏散路线及火场逃生注意事项</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6.2</w:t>
            </w:r>
          </w:p>
        </w:tc>
        <w:tc>
          <w:tcPr>
            <w:tcW w:w="14023" w:type="dxa"/>
            <w:gridSpan w:val="3"/>
            <w:shd w:val="clear" w:color="auto" w:fill="auto"/>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应急喷淋</w:t>
            </w:r>
            <w:r>
              <w:rPr>
                <w:rFonts w:hint="eastAsia" w:ascii="宋体" w:hAnsi="宋体"/>
                <w:b/>
                <w:kern w:val="0"/>
                <w:szCs w:val="21"/>
              </w:rPr>
              <w:t>与</w:t>
            </w:r>
            <w:r>
              <w:rPr>
                <w:rFonts w:ascii="宋体" w:hAnsi="宋体"/>
                <w:b/>
                <w:kern w:val="0"/>
                <w:szCs w:val="21"/>
              </w:rPr>
              <w:t>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6.2.1</w:t>
            </w:r>
          </w:p>
        </w:tc>
        <w:tc>
          <w:tcPr>
            <w:tcW w:w="3820" w:type="dxa"/>
            <w:shd w:val="clear" w:color="auto" w:fill="auto"/>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存在可能受到化学和生物伤害的实验区域，需配置应急喷淋和洗眼装置</w:t>
            </w:r>
          </w:p>
        </w:tc>
        <w:tc>
          <w:tcPr>
            <w:tcW w:w="7374" w:type="dxa"/>
            <w:shd w:val="clear" w:color="auto" w:fill="auto"/>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有显著引导标识</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6.2.2</w:t>
            </w:r>
          </w:p>
        </w:tc>
        <w:tc>
          <w:tcPr>
            <w:tcW w:w="3820" w:type="dxa"/>
            <w:shd w:val="clear" w:color="auto" w:fill="auto"/>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应急喷淋与洗眼装置安装合理，并能正常使用</w:t>
            </w:r>
          </w:p>
        </w:tc>
        <w:tc>
          <w:tcPr>
            <w:tcW w:w="7374" w:type="dxa"/>
            <w:shd w:val="clear" w:color="auto" w:fill="auto"/>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应急喷淋安装地点与工作区域之间畅通，距离不超过30米；应急喷淋安装位置合适，拉杆位置</w:t>
            </w:r>
            <w:r>
              <w:rPr>
                <w:rFonts w:ascii="宋体" w:hAnsi="宋体"/>
                <w:kern w:val="0"/>
                <w:szCs w:val="21"/>
              </w:rPr>
              <w:t>合适、</w:t>
            </w:r>
            <w:r>
              <w:rPr>
                <w:rFonts w:hint="eastAsia" w:ascii="宋体" w:hAnsi="宋体"/>
                <w:kern w:val="0"/>
                <w:szCs w:val="21"/>
              </w:rPr>
              <w:t>方向</w:t>
            </w:r>
            <w:r>
              <w:rPr>
                <w:rFonts w:ascii="宋体" w:hAnsi="宋体"/>
                <w:kern w:val="0"/>
                <w:szCs w:val="21"/>
              </w:rPr>
              <w:t>正确</w:t>
            </w:r>
            <w:r>
              <w:rPr>
                <w:rFonts w:hint="eastAsia" w:ascii="宋体" w:hAnsi="宋体"/>
                <w:kern w:val="0"/>
                <w:szCs w:val="21"/>
              </w:rPr>
              <w:t>；</w:t>
            </w:r>
            <w:r>
              <w:rPr>
                <w:rFonts w:ascii="宋体" w:hAnsi="宋体"/>
                <w:kern w:val="0"/>
                <w:szCs w:val="21"/>
              </w:rPr>
              <w:t>应急喷淋装置水管总阀处常开状，喷</w:t>
            </w:r>
            <w:r>
              <w:rPr>
                <w:rFonts w:hint="eastAsia" w:ascii="宋体" w:hAnsi="宋体"/>
                <w:kern w:val="0"/>
                <w:szCs w:val="21"/>
              </w:rPr>
              <w:t>淋</w:t>
            </w:r>
            <w:r>
              <w:rPr>
                <w:rFonts w:ascii="宋体" w:hAnsi="宋体"/>
                <w:kern w:val="0"/>
                <w:szCs w:val="21"/>
              </w:rPr>
              <w:t>头下方无障碍物</w:t>
            </w:r>
            <w:r>
              <w:rPr>
                <w:rFonts w:hint="eastAsia" w:ascii="宋体" w:hAnsi="宋体"/>
                <w:kern w:val="0"/>
                <w:szCs w:val="21"/>
              </w:rPr>
              <w:t>；</w:t>
            </w:r>
            <w:r>
              <w:rPr>
                <w:rFonts w:ascii="宋体" w:hAnsi="宋体"/>
                <w:kern w:val="0"/>
                <w:szCs w:val="21"/>
              </w:rPr>
              <w:t>不能以普通淋浴装置代替应急喷淋装置</w:t>
            </w:r>
            <w:r>
              <w:rPr>
                <w:rFonts w:hint="eastAsia" w:ascii="宋体" w:hAnsi="宋体"/>
                <w:kern w:val="0"/>
                <w:szCs w:val="21"/>
              </w:rPr>
              <w:t>；洗眼装置接入生活用水管道，水量水压适中（喷出高度</w:t>
            </w:r>
            <w:r>
              <w:rPr>
                <w:rFonts w:ascii="宋体" w:hAnsi="宋体"/>
                <w:kern w:val="0"/>
                <w:szCs w:val="21"/>
              </w:rPr>
              <w:t>8</w:t>
            </w:r>
            <w:r>
              <w:rPr>
                <w:rFonts w:hint="eastAsia" w:ascii="宋体" w:hAnsi="宋体"/>
                <w:kern w:val="0"/>
                <w:szCs w:val="21"/>
              </w:rPr>
              <w:t>-10cm），</w:t>
            </w:r>
            <w:r>
              <w:rPr>
                <w:rFonts w:hint="eastAsia" w:ascii="宋体" w:hAnsi="宋体"/>
                <w:bCs/>
                <w:kern w:val="0"/>
                <w:szCs w:val="21"/>
              </w:rPr>
              <w:t>水流畅通平稳</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6.2.3</w:t>
            </w:r>
          </w:p>
        </w:tc>
        <w:tc>
          <w:tcPr>
            <w:tcW w:w="3820" w:type="dxa"/>
            <w:shd w:val="clear" w:color="auto" w:fill="auto"/>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定期对应急喷淋与</w:t>
            </w:r>
            <w:r>
              <w:rPr>
                <w:rFonts w:ascii="宋体" w:hAnsi="宋体"/>
                <w:kern w:val="0"/>
                <w:szCs w:val="21"/>
              </w:rPr>
              <w:t>洗眼</w:t>
            </w:r>
            <w:r>
              <w:rPr>
                <w:rFonts w:hint="eastAsia" w:ascii="宋体" w:hAnsi="宋体"/>
                <w:kern w:val="0"/>
                <w:szCs w:val="21"/>
              </w:rPr>
              <w:t>装置进行维护</w:t>
            </w:r>
          </w:p>
        </w:tc>
        <w:tc>
          <w:tcPr>
            <w:tcW w:w="7374" w:type="dxa"/>
            <w:shd w:val="clear" w:color="auto" w:fill="auto"/>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有检查记录（每月启动一次阀门，时刻保证管内流水畅通）；每周擦拭洗眼喷头，</w:t>
            </w:r>
            <w:r>
              <w:rPr>
                <w:rFonts w:hint="eastAsia" w:ascii="宋体" w:hAnsi="宋体"/>
                <w:bCs/>
                <w:kern w:val="0"/>
                <w:szCs w:val="21"/>
              </w:rPr>
              <w:t>无锈水脏水</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6.3</w:t>
            </w:r>
          </w:p>
        </w:tc>
        <w:tc>
          <w:tcPr>
            <w:tcW w:w="14023" w:type="dxa"/>
            <w:gridSpan w:val="3"/>
            <w:shd w:val="clear" w:color="auto" w:fill="auto"/>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6.3.1</w:t>
            </w:r>
          </w:p>
        </w:tc>
        <w:tc>
          <w:tcPr>
            <w:tcW w:w="3820" w:type="dxa"/>
            <w:shd w:val="clear" w:color="auto" w:fill="auto"/>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有需要的实验场所</w:t>
            </w:r>
            <w:r>
              <w:rPr>
                <w:rFonts w:ascii="宋体" w:hAnsi="宋体"/>
                <w:kern w:val="0"/>
                <w:szCs w:val="21"/>
              </w:rPr>
              <w:t xml:space="preserve">配备符合要求的通风系统 </w:t>
            </w:r>
          </w:p>
        </w:tc>
        <w:tc>
          <w:tcPr>
            <w:tcW w:w="7374" w:type="dxa"/>
            <w:shd w:val="clear" w:color="auto" w:fill="auto"/>
            <w:tcMar>
              <w:left w:w="45" w:type="dxa"/>
              <w:right w:w="45" w:type="dxa"/>
            </w:tcMar>
            <w:vAlign w:val="center"/>
          </w:tcPr>
          <w:p>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hint="eastAsia" w:ascii="宋体" w:hAnsi="宋体"/>
                <w:bCs/>
                <w:kern w:val="0"/>
                <w:szCs w:val="21"/>
              </w:rPr>
              <w:t>；</w:t>
            </w:r>
            <w:r>
              <w:rPr>
                <w:rFonts w:hint="eastAsia" w:ascii="宋体" w:hAnsi="宋体"/>
                <w:kern w:val="0"/>
                <w:szCs w:val="21"/>
              </w:rPr>
              <w:t>实验室</w:t>
            </w:r>
            <w:r>
              <w:rPr>
                <w:rFonts w:ascii="宋体" w:hAnsi="宋体"/>
                <w:kern w:val="0"/>
                <w:szCs w:val="21"/>
              </w:rPr>
              <w:t>通风系统运行</w:t>
            </w:r>
            <w:r>
              <w:rPr>
                <w:rFonts w:hint="eastAsia" w:ascii="宋体" w:hAnsi="宋体"/>
                <w:kern w:val="0"/>
                <w:szCs w:val="21"/>
              </w:rPr>
              <w:t>正常，</w:t>
            </w:r>
            <w:r>
              <w:rPr>
                <w:rFonts w:hint="eastAsia"/>
                <w:szCs w:val="21"/>
              </w:rPr>
              <w:t>柜口面</w:t>
            </w:r>
            <w:r>
              <w:rPr>
                <w:rFonts w:hint="eastAsia" w:ascii="宋体" w:hAnsi="宋体"/>
                <w:kern w:val="0"/>
                <w:szCs w:val="21"/>
              </w:rPr>
              <w:t>风速0.</w:t>
            </w:r>
            <w:r>
              <w:rPr>
                <w:rFonts w:ascii="宋体" w:hAnsi="宋体"/>
                <w:kern w:val="0"/>
                <w:szCs w:val="21"/>
              </w:rPr>
              <w:t>3</w:t>
            </w:r>
            <w:r>
              <w:rPr>
                <w:rFonts w:hint="eastAsia" w:ascii="宋体" w:hAnsi="宋体"/>
                <w:kern w:val="0"/>
                <w:szCs w:val="21"/>
              </w:rPr>
              <w:t>5-0.</w:t>
            </w:r>
            <w:r>
              <w:rPr>
                <w:rFonts w:ascii="宋体" w:hAnsi="宋体"/>
                <w:kern w:val="0"/>
                <w:szCs w:val="21"/>
              </w:rPr>
              <w:t>7</w:t>
            </w:r>
            <w:r>
              <w:rPr>
                <w:rFonts w:hint="eastAsia" w:ascii="宋体" w:hAnsi="宋体"/>
                <w:kern w:val="0"/>
                <w:szCs w:val="21"/>
              </w:rPr>
              <w:t>5 m/s，定期进行维护、检修；</w:t>
            </w:r>
            <w:r>
              <w:rPr>
                <w:rFonts w:ascii="宋体" w:hAnsi="宋体"/>
                <w:kern w:val="0"/>
                <w:szCs w:val="21"/>
              </w:rPr>
              <w:t>屋顶风机固定无松动、无异常噪声</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6.3.2</w:t>
            </w:r>
          </w:p>
        </w:tc>
        <w:tc>
          <w:tcPr>
            <w:tcW w:w="3820" w:type="dxa"/>
            <w:shd w:val="clear" w:color="auto" w:fill="auto"/>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通风橱的配置合理、使用正常、操作合规</w:t>
            </w:r>
          </w:p>
        </w:tc>
        <w:tc>
          <w:tcPr>
            <w:tcW w:w="7374" w:type="dxa"/>
            <w:shd w:val="clear" w:color="auto" w:fill="auto"/>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根据需要在通风橱管路上安装有毒有害气体的吸附或处理装置（如</w:t>
            </w:r>
            <w:r>
              <w:rPr>
                <w:rFonts w:ascii="宋体" w:hAnsi="宋体"/>
                <w:kern w:val="0"/>
                <w:szCs w:val="21"/>
              </w:rPr>
              <w:t>活性炭、光催化分</w:t>
            </w:r>
            <w:r>
              <w:rPr>
                <w:rFonts w:hint="eastAsia" w:ascii="宋体" w:hAnsi="宋体"/>
                <w:kern w:val="0"/>
                <w:szCs w:val="21"/>
              </w:rPr>
              <w:t>解</w:t>
            </w:r>
            <w:r>
              <w:rPr>
                <w:rFonts w:ascii="宋体" w:hAnsi="宋体"/>
                <w:kern w:val="0"/>
                <w:szCs w:val="21"/>
              </w:rPr>
              <w:t>、水喷淋等</w:t>
            </w:r>
            <w:r>
              <w:rPr>
                <w:rFonts w:hint="eastAsia" w:ascii="宋体" w:hAnsi="宋体"/>
                <w:kern w:val="0"/>
                <w:szCs w:val="21"/>
              </w:rPr>
              <w:t>）；任何可能产生高浓度有害气体而导致个人曝露、或产生可燃、可爆炸气体或蒸汽而导致积聚的实验，都应在通风橱内进行；进行实验时，可调玻璃视窗开至据台面10</w:t>
            </w:r>
            <w:r>
              <w:rPr>
                <w:rFonts w:ascii="宋体" w:hAnsi="宋体"/>
                <w:kern w:val="0"/>
                <w:szCs w:val="21"/>
              </w:rPr>
              <w:t>-</w:t>
            </w:r>
            <w:r>
              <w:rPr>
                <w:rFonts w:hint="eastAsia" w:ascii="宋体" w:hAnsi="宋体"/>
                <w:kern w:val="0"/>
                <w:szCs w:val="21"/>
              </w:rPr>
              <w:t>15cm，保持</w:t>
            </w:r>
            <w:r>
              <w:rPr>
                <w:rFonts w:ascii="宋体" w:hAnsi="宋体"/>
                <w:kern w:val="0"/>
                <w:szCs w:val="21"/>
              </w:rPr>
              <w:t>通风效果，并保护</w:t>
            </w:r>
            <w:r>
              <w:rPr>
                <w:rFonts w:hint="eastAsia" w:ascii="宋体" w:hAnsi="宋体"/>
                <w:kern w:val="0"/>
                <w:szCs w:val="21"/>
              </w:rPr>
              <w:t>操作人员胸部以上部位；</w:t>
            </w:r>
            <w:r>
              <w:rPr>
                <w:rFonts w:ascii="宋体" w:hAnsi="宋体"/>
                <w:bCs/>
                <w:kern w:val="0"/>
                <w:szCs w:val="21"/>
              </w:rPr>
              <w:t>玻璃视窗材料应是钢化玻璃</w:t>
            </w:r>
            <w:r>
              <w:rPr>
                <w:rFonts w:hint="eastAsia" w:ascii="宋体" w:hAnsi="宋体"/>
                <w:bCs/>
                <w:kern w:val="0"/>
                <w:szCs w:val="21"/>
              </w:rPr>
              <w:t>。</w:t>
            </w:r>
            <w:r>
              <w:rPr>
                <w:rFonts w:hint="eastAsia" w:ascii="宋体" w:hAnsi="宋体"/>
                <w:kern w:val="0"/>
                <w:szCs w:val="21"/>
              </w:rPr>
              <w:t>实验人员在通风橱进行实验时，避免将头伸入调节门内；不将一次性手套或较轻的塑料袋等留在通风橱内，以免堵塞排风口；通风橱内放置</w:t>
            </w:r>
            <w:r>
              <w:rPr>
                <w:rFonts w:ascii="宋体" w:hAnsi="宋体"/>
                <w:kern w:val="0"/>
                <w:szCs w:val="21"/>
              </w:rPr>
              <w:t>物品</w:t>
            </w:r>
            <w:r>
              <w:rPr>
                <w:rFonts w:hint="eastAsia" w:ascii="宋体" w:hAnsi="宋体"/>
                <w:kern w:val="0"/>
                <w:szCs w:val="21"/>
              </w:rPr>
              <w:t>应距离调节门内侧15cm左右，以免</w:t>
            </w:r>
            <w:r>
              <w:rPr>
                <w:rFonts w:ascii="宋体" w:hAnsi="宋体"/>
                <w:kern w:val="0"/>
                <w:szCs w:val="21"/>
              </w:rPr>
              <w:t>掉落</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color w:val="000000"/>
                <w:kern w:val="0"/>
                <w:szCs w:val="21"/>
              </w:rPr>
            </w:pPr>
            <w:r>
              <w:rPr>
                <w:b/>
                <w:color w:val="000000"/>
                <w:kern w:val="0"/>
                <w:szCs w:val="21"/>
              </w:rPr>
              <w:t>6.4</w:t>
            </w:r>
          </w:p>
        </w:tc>
        <w:tc>
          <w:tcPr>
            <w:tcW w:w="14023" w:type="dxa"/>
            <w:gridSpan w:val="3"/>
            <w:shd w:val="clear" w:color="auto" w:fill="auto"/>
            <w:tcMar>
              <w:left w:w="45" w:type="dxa"/>
              <w:right w:w="45" w:type="dxa"/>
            </w:tcMar>
            <w:vAlign w:val="center"/>
          </w:tcPr>
          <w:p>
            <w:pPr>
              <w:widowControl/>
              <w:spacing w:line="300" w:lineRule="exact"/>
              <w:jc w:val="left"/>
              <w:rPr>
                <w:rFonts w:ascii="宋体" w:hAnsi="宋体"/>
                <w:b/>
                <w:color w:val="000000"/>
                <w:kern w:val="0"/>
                <w:szCs w:val="21"/>
              </w:rPr>
            </w:pPr>
            <w:r>
              <w:rPr>
                <w:rFonts w:hint="eastAsia" w:ascii="宋体" w:hAnsi="宋体"/>
                <w:b/>
                <w:color w:val="000000"/>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6.4.1</w:t>
            </w:r>
          </w:p>
        </w:tc>
        <w:tc>
          <w:tcPr>
            <w:tcW w:w="3820" w:type="dxa"/>
            <w:shd w:val="clear" w:color="auto" w:fill="auto"/>
            <w:tcMar>
              <w:left w:w="45" w:type="dxa"/>
              <w:right w:w="45" w:type="dxa"/>
            </w:tcMar>
            <w:vAlign w:val="center"/>
          </w:tcPr>
          <w:p>
            <w:pPr>
              <w:widowControl/>
              <w:spacing w:line="300" w:lineRule="exact"/>
              <w:jc w:val="left"/>
              <w:rPr>
                <w:rFonts w:ascii="宋体" w:hAnsi="宋体"/>
                <w:color w:val="000000"/>
                <w:kern w:val="0"/>
                <w:szCs w:val="21"/>
              </w:rPr>
            </w:pPr>
            <w:r>
              <w:rPr>
                <w:rFonts w:hint="eastAsia" w:ascii="宋体" w:hAnsi="宋体"/>
                <w:color w:val="000000"/>
                <w:szCs w:val="21"/>
              </w:rPr>
              <w:t>重点</w:t>
            </w:r>
            <w:r>
              <w:rPr>
                <w:rFonts w:ascii="宋体" w:hAnsi="宋体"/>
                <w:color w:val="000000"/>
                <w:szCs w:val="21"/>
              </w:rPr>
              <w:t>场所</w:t>
            </w:r>
            <w:r>
              <w:rPr>
                <w:rFonts w:hint="eastAsia" w:ascii="宋体" w:hAnsi="宋体"/>
                <w:color w:val="000000"/>
                <w:szCs w:val="21"/>
              </w:rPr>
              <w:t>需安装门禁和监控设施，并有专人管理</w:t>
            </w:r>
          </w:p>
        </w:tc>
        <w:tc>
          <w:tcPr>
            <w:tcW w:w="7374" w:type="dxa"/>
            <w:shd w:val="clear" w:color="auto" w:fill="auto"/>
            <w:tcMar>
              <w:left w:w="45" w:type="dxa"/>
              <w:right w:w="45" w:type="dxa"/>
            </w:tcMar>
            <w:vAlign w:val="center"/>
          </w:tcPr>
          <w:p>
            <w:pPr>
              <w:widowControl/>
              <w:spacing w:line="300" w:lineRule="exact"/>
              <w:jc w:val="left"/>
              <w:rPr>
                <w:rFonts w:ascii="宋体" w:hAnsi="宋体"/>
                <w:bCs/>
                <w:color w:val="000000"/>
                <w:kern w:val="0"/>
                <w:szCs w:val="21"/>
              </w:rPr>
            </w:pPr>
            <w:r>
              <w:rPr>
                <w:rFonts w:hint="eastAsia" w:ascii="宋体" w:hAnsi="宋体"/>
                <w:color w:val="000000"/>
                <w:szCs w:val="21"/>
              </w:rPr>
              <w:t>重点关注剧毒品、病原微生物、特种设备和放射源存放点等危险源的管理</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6.4.2</w:t>
            </w:r>
          </w:p>
        </w:tc>
        <w:tc>
          <w:tcPr>
            <w:tcW w:w="3820" w:type="dxa"/>
            <w:shd w:val="clear" w:color="auto" w:fill="auto"/>
            <w:tcMar>
              <w:left w:w="45" w:type="dxa"/>
              <w:right w:w="45" w:type="dxa"/>
            </w:tcMar>
            <w:vAlign w:val="center"/>
          </w:tcPr>
          <w:p>
            <w:pPr>
              <w:widowControl/>
              <w:spacing w:line="300" w:lineRule="exact"/>
              <w:jc w:val="left"/>
              <w:rPr>
                <w:rFonts w:ascii="宋体" w:hAnsi="宋体"/>
                <w:color w:val="000000"/>
                <w:kern w:val="0"/>
                <w:szCs w:val="21"/>
              </w:rPr>
            </w:pPr>
            <w:r>
              <w:rPr>
                <w:rFonts w:hint="eastAsia" w:ascii="宋体" w:hAnsi="宋体"/>
                <w:color w:val="000000"/>
                <w:szCs w:val="21"/>
              </w:rPr>
              <w:t>门禁和监控系统运转正常，与</w:t>
            </w:r>
            <w:r>
              <w:rPr>
                <w:rFonts w:ascii="宋体" w:hAnsi="宋体"/>
                <w:color w:val="000000"/>
                <w:szCs w:val="21"/>
              </w:rPr>
              <w:t>实验室准入制度</w:t>
            </w:r>
            <w:r>
              <w:rPr>
                <w:rFonts w:hint="eastAsia" w:ascii="宋体" w:hAnsi="宋体"/>
                <w:color w:val="000000"/>
                <w:szCs w:val="21"/>
              </w:rPr>
              <w:t>相</w:t>
            </w:r>
            <w:r>
              <w:rPr>
                <w:rFonts w:ascii="宋体" w:hAnsi="宋体"/>
                <w:color w:val="000000"/>
                <w:szCs w:val="21"/>
              </w:rPr>
              <w:t>匹配</w:t>
            </w:r>
          </w:p>
        </w:tc>
        <w:tc>
          <w:tcPr>
            <w:tcW w:w="7374" w:type="dxa"/>
            <w:shd w:val="clear" w:color="auto" w:fill="auto"/>
            <w:tcMar>
              <w:left w:w="45" w:type="dxa"/>
              <w:right w:w="45" w:type="dxa"/>
            </w:tcMar>
            <w:vAlign w:val="center"/>
          </w:tcPr>
          <w:p>
            <w:pPr>
              <w:widowControl/>
              <w:spacing w:line="300" w:lineRule="exact"/>
              <w:jc w:val="left"/>
              <w:rPr>
                <w:rFonts w:ascii="宋体" w:hAnsi="宋体"/>
                <w:bCs/>
                <w:color w:val="000000"/>
                <w:kern w:val="0"/>
                <w:szCs w:val="21"/>
              </w:rPr>
            </w:pPr>
            <w:r>
              <w:rPr>
                <w:rFonts w:hint="eastAsia" w:ascii="宋体" w:hAnsi="宋体"/>
                <w:color w:val="000000"/>
                <w:szCs w:val="21"/>
              </w:rPr>
              <w:t>监控不留死角，图像清晰，人员出入记录可查，建议视频记录存储时间大于1个月；</w:t>
            </w:r>
            <w:r>
              <w:rPr>
                <w:rFonts w:ascii="宋体" w:hAnsi="宋体"/>
                <w:color w:val="000000"/>
                <w:szCs w:val="21"/>
              </w:rPr>
              <w:t>停电时</w:t>
            </w:r>
            <w:r>
              <w:rPr>
                <w:rFonts w:hint="eastAsia" w:ascii="宋体" w:hAnsi="宋体"/>
                <w:color w:val="000000"/>
                <w:szCs w:val="21"/>
              </w:rPr>
              <w:t>，电子</w:t>
            </w:r>
            <w:r>
              <w:rPr>
                <w:rFonts w:ascii="宋体" w:hAnsi="宋体"/>
                <w:color w:val="000000"/>
                <w:szCs w:val="21"/>
              </w:rPr>
              <w:t>门禁系统</w:t>
            </w:r>
            <w:r>
              <w:rPr>
                <w:rFonts w:hint="eastAsia" w:ascii="宋体" w:hAnsi="宋体"/>
                <w:color w:val="000000"/>
                <w:szCs w:val="21"/>
              </w:rPr>
              <w:t>应</w:t>
            </w:r>
            <w:r>
              <w:rPr>
                <w:rFonts w:ascii="宋体" w:hAnsi="宋体"/>
                <w:color w:val="000000"/>
                <w:szCs w:val="21"/>
              </w:rPr>
              <w:t>是开启状态</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6.5</w:t>
            </w:r>
          </w:p>
        </w:tc>
        <w:tc>
          <w:tcPr>
            <w:tcW w:w="14023" w:type="dxa"/>
            <w:gridSpan w:val="3"/>
            <w:shd w:val="clear" w:color="auto" w:fill="auto"/>
            <w:tcMar>
              <w:left w:w="45" w:type="dxa"/>
              <w:right w:w="45" w:type="dxa"/>
            </w:tcMar>
            <w:vAlign w:val="center"/>
          </w:tcPr>
          <w:p>
            <w:pPr>
              <w:widowControl/>
              <w:spacing w:line="300" w:lineRule="exact"/>
              <w:jc w:val="left"/>
              <w:rPr>
                <w:rFonts w:ascii="宋体" w:hAnsi="宋体"/>
                <w:b/>
                <w:szCs w:val="21"/>
              </w:rPr>
            </w:pPr>
            <w:r>
              <w:rPr>
                <w:rFonts w:hint="eastAsia" w:ascii="宋体" w:hAnsi="宋体"/>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6.5.1</w:t>
            </w:r>
          </w:p>
        </w:tc>
        <w:tc>
          <w:tcPr>
            <w:tcW w:w="3820" w:type="dxa"/>
            <w:shd w:val="clear" w:color="auto" w:fill="auto"/>
            <w:tcMar>
              <w:left w:w="45" w:type="dxa"/>
              <w:right w:w="45" w:type="dxa"/>
            </w:tcMar>
            <w:vAlign w:val="center"/>
          </w:tcPr>
          <w:p>
            <w:pPr>
              <w:spacing w:line="300" w:lineRule="exact"/>
              <w:rPr>
                <w:rFonts w:ascii="宋体" w:hAnsi="宋体"/>
                <w:szCs w:val="21"/>
              </w:rPr>
            </w:pPr>
            <w:r>
              <w:rPr>
                <w:rFonts w:hint="eastAsia" w:ascii="宋体" w:hAnsi="宋体"/>
                <w:szCs w:val="21"/>
              </w:rPr>
              <w:t>防爆实验室需符合防爆设计要求</w:t>
            </w:r>
          </w:p>
        </w:tc>
        <w:tc>
          <w:tcPr>
            <w:tcW w:w="7374" w:type="dxa"/>
            <w:shd w:val="clear" w:color="auto" w:fill="auto"/>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安装有防爆开关、防爆灯等，安装必要</w:t>
            </w:r>
            <w:r>
              <w:rPr>
                <w:rFonts w:ascii="宋体" w:hAnsi="宋体"/>
                <w:szCs w:val="21"/>
              </w:rPr>
              <w:t>的</w:t>
            </w:r>
            <w:r>
              <w:rPr>
                <w:rFonts w:hint="eastAsia" w:ascii="宋体" w:hAnsi="宋体"/>
                <w:szCs w:val="21"/>
              </w:rPr>
              <w:t>气体报警系统、监控系统及断电断水应急系统等；对于产生可燃气体或蒸汽的装置，应在其进、出口处安装阻火器；室内应加强通风，以使爆炸物浓度控制在爆炸下限值以下</w:t>
            </w:r>
          </w:p>
        </w:tc>
        <w:tc>
          <w:tcPr>
            <w:tcW w:w="2829" w:type="dxa"/>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6.5.2</w:t>
            </w:r>
          </w:p>
        </w:tc>
        <w:tc>
          <w:tcPr>
            <w:tcW w:w="3820" w:type="dxa"/>
            <w:shd w:val="clear" w:color="auto" w:fill="auto"/>
            <w:tcMar>
              <w:left w:w="45" w:type="dxa"/>
              <w:right w:w="45" w:type="dxa"/>
            </w:tcMar>
            <w:vAlign w:val="center"/>
          </w:tcPr>
          <w:p>
            <w:pPr>
              <w:spacing w:line="300" w:lineRule="exact"/>
              <w:rPr>
                <w:rFonts w:ascii="宋体" w:hAnsi="宋体"/>
                <w:szCs w:val="21"/>
              </w:rPr>
            </w:pPr>
            <w:r>
              <w:rPr>
                <w:rFonts w:hint="eastAsia" w:ascii="宋体" w:hAnsi="宋体"/>
                <w:szCs w:val="21"/>
              </w:rPr>
              <w:t>应妥善防护具有爆炸危险性的仪器设备</w:t>
            </w:r>
          </w:p>
        </w:tc>
        <w:tc>
          <w:tcPr>
            <w:tcW w:w="7374" w:type="dxa"/>
            <w:shd w:val="clear" w:color="auto" w:fill="auto"/>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使用合适的安全罩防护</w:t>
            </w:r>
          </w:p>
        </w:tc>
        <w:tc>
          <w:tcPr>
            <w:tcW w:w="2829" w:type="dxa"/>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7</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基础</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color w:val="000000"/>
                <w:kern w:val="0"/>
                <w:szCs w:val="21"/>
              </w:rPr>
            </w:pPr>
            <w:r>
              <w:rPr>
                <w:b/>
                <w:color w:val="000000"/>
                <w:kern w:val="0"/>
                <w:szCs w:val="21"/>
              </w:rPr>
              <w:t>7.1</w:t>
            </w:r>
          </w:p>
        </w:tc>
        <w:tc>
          <w:tcPr>
            <w:tcW w:w="14023" w:type="dxa"/>
            <w:gridSpan w:val="3"/>
            <w:shd w:val="clear" w:color="auto" w:fill="auto"/>
            <w:tcMar>
              <w:left w:w="45" w:type="dxa"/>
              <w:right w:w="45" w:type="dxa"/>
            </w:tcMar>
            <w:vAlign w:val="center"/>
          </w:tcPr>
          <w:p>
            <w:pPr>
              <w:widowControl/>
              <w:spacing w:line="300" w:lineRule="exact"/>
              <w:jc w:val="left"/>
              <w:rPr>
                <w:b/>
                <w:color w:val="000000"/>
                <w:kern w:val="0"/>
                <w:szCs w:val="21"/>
              </w:rPr>
            </w:pPr>
            <w:r>
              <w:rPr>
                <w:b/>
                <w:color w:val="000000"/>
                <w:kern w:val="0"/>
                <w:szCs w:val="21"/>
              </w:rPr>
              <w:t>用电</w:t>
            </w:r>
            <w:r>
              <w:rPr>
                <w:rFonts w:hint="eastAsia"/>
                <w:b/>
                <w:color w:val="000000"/>
                <w:kern w:val="0"/>
                <w:szCs w:val="21"/>
              </w:rPr>
              <w:t>用水</w:t>
            </w:r>
            <w:r>
              <w:rPr>
                <w:b/>
                <w:color w:val="000000"/>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7.1.1</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实验室用电安全应符合国家标准（导则）和行业标准</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实验室电</w:t>
            </w:r>
            <w:r>
              <w:rPr>
                <w:color w:val="000000"/>
                <w:kern w:val="0"/>
                <w:szCs w:val="21"/>
              </w:rPr>
              <w:t>容量、插头插座</w:t>
            </w:r>
            <w:r>
              <w:rPr>
                <w:rFonts w:hint="eastAsia"/>
                <w:color w:val="000000"/>
                <w:kern w:val="0"/>
                <w:szCs w:val="21"/>
              </w:rPr>
              <w:t>与</w:t>
            </w:r>
            <w:r>
              <w:rPr>
                <w:color w:val="000000"/>
                <w:kern w:val="0"/>
                <w:szCs w:val="21"/>
              </w:rPr>
              <w:t>用电设备功率需匹配，不得私自改装</w:t>
            </w:r>
            <w:r>
              <w:rPr>
                <w:rFonts w:hint="eastAsia"/>
                <w:color w:val="000000"/>
                <w:kern w:val="0"/>
                <w:szCs w:val="21"/>
              </w:rPr>
              <w:t>；</w:t>
            </w:r>
            <w:r>
              <w:rPr>
                <w:color w:val="000000"/>
                <w:kern w:val="0"/>
                <w:szCs w:val="21"/>
              </w:rPr>
              <w:t>电源插座须固定</w:t>
            </w:r>
            <w:r>
              <w:rPr>
                <w:rFonts w:hint="eastAsia"/>
                <w:color w:val="000000"/>
                <w:kern w:val="0"/>
                <w:szCs w:val="21"/>
              </w:rPr>
              <w:t>；</w:t>
            </w:r>
            <w:r>
              <w:rPr>
                <w:color w:val="000000"/>
                <w:kern w:val="0"/>
                <w:szCs w:val="21"/>
              </w:rPr>
              <w:t>电气设备</w:t>
            </w:r>
            <w:r>
              <w:rPr>
                <w:rFonts w:hint="eastAsia"/>
                <w:color w:val="000000"/>
                <w:kern w:val="0"/>
                <w:szCs w:val="21"/>
              </w:rPr>
              <w:t>应配备</w:t>
            </w:r>
            <w:r>
              <w:rPr>
                <w:color w:val="000000"/>
                <w:kern w:val="0"/>
                <w:szCs w:val="21"/>
              </w:rPr>
              <w:t>空气开关和漏电保护器</w:t>
            </w:r>
            <w:r>
              <w:rPr>
                <w:rFonts w:hint="eastAsia"/>
                <w:color w:val="000000"/>
                <w:kern w:val="0"/>
                <w:szCs w:val="21"/>
              </w:rPr>
              <w:t>；</w:t>
            </w:r>
            <w:r>
              <w:rPr>
                <w:color w:val="000000"/>
                <w:kern w:val="0"/>
                <w:szCs w:val="21"/>
              </w:rPr>
              <w:t>不</w:t>
            </w:r>
            <w:r>
              <w:rPr>
                <w:rFonts w:hint="eastAsia"/>
                <w:color w:val="000000"/>
                <w:kern w:val="0"/>
                <w:szCs w:val="21"/>
              </w:rPr>
              <w:t>私自</w:t>
            </w:r>
            <w:r>
              <w:rPr>
                <w:color w:val="000000"/>
                <w:kern w:val="0"/>
                <w:szCs w:val="21"/>
              </w:rPr>
              <w:t>乱拉乱接电线</w:t>
            </w:r>
            <w:r>
              <w:rPr>
                <w:rFonts w:hint="eastAsia"/>
                <w:color w:val="000000"/>
                <w:kern w:val="0"/>
                <w:szCs w:val="21"/>
              </w:rPr>
              <w:t>电缆</w:t>
            </w:r>
            <w:r>
              <w:rPr>
                <w:color w:val="000000"/>
                <w:kern w:val="0"/>
                <w:szCs w:val="21"/>
              </w:rPr>
              <w:t>，不使用老化的线</w:t>
            </w:r>
            <w:r>
              <w:rPr>
                <w:rFonts w:hint="eastAsia"/>
                <w:color w:val="000000"/>
                <w:kern w:val="0"/>
                <w:szCs w:val="21"/>
              </w:rPr>
              <w:t>缆</w:t>
            </w:r>
            <w:r>
              <w:rPr>
                <w:color w:val="000000"/>
                <w:kern w:val="0"/>
                <w:szCs w:val="21"/>
              </w:rPr>
              <w:t>、花线和木质配电板</w:t>
            </w:r>
            <w:r>
              <w:rPr>
                <w:rFonts w:hint="eastAsia"/>
                <w:color w:val="000000"/>
                <w:kern w:val="0"/>
                <w:szCs w:val="21"/>
              </w:rPr>
              <w:t>；禁止多个接线板串接供电，接线板不宜直接置于地面；</w:t>
            </w:r>
            <w:r>
              <w:rPr>
                <w:color w:val="000000"/>
                <w:kern w:val="0"/>
                <w:szCs w:val="21"/>
              </w:rPr>
              <w:t>电线接头绝缘可靠，无裸露连接线，地</w:t>
            </w:r>
            <w:r>
              <w:rPr>
                <w:rFonts w:hint="eastAsia"/>
                <w:color w:val="000000"/>
                <w:kern w:val="0"/>
                <w:szCs w:val="21"/>
              </w:rPr>
              <w:t>面</w:t>
            </w:r>
            <w:r>
              <w:rPr>
                <w:color w:val="000000"/>
                <w:kern w:val="0"/>
                <w:szCs w:val="21"/>
              </w:rPr>
              <w:t>上的线缆应有盖板或护套</w:t>
            </w:r>
            <w:r>
              <w:rPr>
                <w:rFonts w:hint="eastAsia"/>
                <w:color w:val="000000"/>
                <w:kern w:val="0"/>
                <w:szCs w:val="21"/>
              </w:rPr>
              <w:t>；</w:t>
            </w:r>
            <w:r>
              <w:rPr>
                <w:color w:val="000000"/>
                <w:kern w:val="0"/>
                <w:szCs w:val="21"/>
              </w:rPr>
              <w:t>大功率仪器（包括空调等）</w:t>
            </w:r>
            <w:r>
              <w:rPr>
                <w:rFonts w:hint="eastAsia"/>
                <w:color w:val="000000"/>
                <w:kern w:val="0"/>
                <w:szCs w:val="21"/>
              </w:rPr>
              <w:t>使用</w:t>
            </w:r>
            <w:r>
              <w:rPr>
                <w:color w:val="000000"/>
                <w:kern w:val="0"/>
                <w:szCs w:val="21"/>
              </w:rPr>
              <w:t>专用插座</w:t>
            </w:r>
            <w:r>
              <w:rPr>
                <w:rFonts w:hint="eastAsia"/>
                <w:color w:val="000000"/>
                <w:kern w:val="0"/>
                <w:szCs w:val="21"/>
              </w:rPr>
              <w:t>（</w:t>
            </w:r>
            <w:r>
              <w:rPr>
                <w:color w:val="000000"/>
                <w:kern w:val="0"/>
                <w:szCs w:val="21"/>
              </w:rPr>
              <w:t>不</w:t>
            </w:r>
            <w:r>
              <w:rPr>
                <w:rFonts w:hint="eastAsia"/>
                <w:color w:val="000000"/>
                <w:kern w:val="0"/>
                <w:szCs w:val="21"/>
              </w:rPr>
              <w:t>可</w:t>
            </w:r>
            <w:r>
              <w:rPr>
                <w:color w:val="000000"/>
                <w:kern w:val="0"/>
                <w:szCs w:val="21"/>
              </w:rPr>
              <w:t>使用接线板</w:t>
            </w:r>
            <w:r>
              <w:rPr>
                <w:rFonts w:hint="eastAsia"/>
                <w:color w:val="000000"/>
                <w:kern w:val="0"/>
                <w:szCs w:val="21"/>
              </w:rPr>
              <w:t>）</w:t>
            </w:r>
            <w:r>
              <w:rPr>
                <w:color w:val="000000"/>
                <w:kern w:val="0"/>
                <w:szCs w:val="21"/>
              </w:rPr>
              <w:t>，用电负荷满足要求；长期不用时，应切断电源</w:t>
            </w:r>
            <w:r>
              <w:rPr>
                <w:rFonts w:hint="eastAsia"/>
                <w:color w:val="000000"/>
                <w:kern w:val="0"/>
                <w:szCs w:val="21"/>
              </w:rPr>
              <w:t>；无人监管状态下，应切断充电器（宝）的充电电源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7.1.2</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易燃易爆气体等</w:t>
            </w:r>
            <w:r>
              <w:rPr>
                <w:color w:val="000000"/>
                <w:kern w:val="0"/>
                <w:szCs w:val="21"/>
              </w:rPr>
              <w:t>特殊</w:t>
            </w:r>
            <w:r>
              <w:rPr>
                <w:rFonts w:hint="eastAsia"/>
                <w:color w:val="000000"/>
                <w:kern w:val="0"/>
                <w:szCs w:val="21"/>
              </w:rPr>
              <w:t>实验室</w:t>
            </w:r>
            <w:r>
              <w:rPr>
                <w:color w:val="000000"/>
                <w:kern w:val="0"/>
                <w:szCs w:val="21"/>
              </w:rPr>
              <w:t>的</w:t>
            </w:r>
            <w:r>
              <w:rPr>
                <w:rFonts w:hint="eastAsia"/>
                <w:color w:val="000000"/>
                <w:kern w:val="0"/>
                <w:szCs w:val="21"/>
              </w:rPr>
              <w:t>电气线路和装备应按相关规定使用防爆电气线路和装置</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满足</w:t>
            </w:r>
            <w:r>
              <w:rPr>
                <w:color w:val="000000"/>
                <w:kern w:val="0"/>
                <w:szCs w:val="21"/>
              </w:rPr>
              <w:t>爆炸性环境用电气设备</w:t>
            </w:r>
            <w:r>
              <w:rPr>
                <w:rFonts w:hint="eastAsia"/>
                <w:color w:val="000000"/>
                <w:kern w:val="0"/>
                <w:szCs w:val="21"/>
              </w:rPr>
              <w:t>的相关标准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7.</w:t>
            </w:r>
            <w:r>
              <w:rPr>
                <w:rFonts w:hint="eastAsia"/>
                <w:color w:val="000000"/>
                <w:kern w:val="0"/>
                <w:szCs w:val="21"/>
              </w:rPr>
              <w:t>1</w:t>
            </w:r>
            <w:r>
              <w:rPr>
                <w:color w:val="000000"/>
                <w:kern w:val="0"/>
                <w:szCs w:val="21"/>
              </w:rPr>
              <w:t>.</w:t>
            </w:r>
            <w:r>
              <w:rPr>
                <w:rFonts w:hint="eastAsia"/>
                <w:color w:val="000000"/>
                <w:kern w:val="0"/>
                <w:szCs w:val="21"/>
              </w:rPr>
              <w:t>3</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进排水系统布置合理，运行正常</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水槽、</w:t>
            </w:r>
            <w:r>
              <w:rPr>
                <w:color w:val="000000"/>
                <w:kern w:val="0"/>
                <w:szCs w:val="21"/>
              </w:rPr>
              <w:t>地漏及下水道畅通，水龙头、上下水管无破损</w:t>
            </w:r>
            <w:r>
              <w:rPr>
                <w:rFonts w:hint="eastAsia"/>
                <w:color w:val="000000"/>
                <w:kern w:val="0"/>
                <w:szCs w:val="21"/>
              </w:rPr>
              <w:t>；</w:t>
            </w:r>
            <w:r>
              <w:rPr>
                <w:color w:val="000000"/>
                <w:kern w:val="0"/>
                <w:szCs w:val="21"/>
              </w:rPr>
              <w:t>各类</w:t>
            </w:r>
            <w:r>
              <w:rPr>
                <w:rFonts w:hint="eastAsia"/>
                <w:color w:val="000000"/>
                <w:kern w:val="0"/>
                <w:szCs w:val="21"/>
              </w:rPr>
              <w:t>连</w:t>
            </w:r>
            <w:r>
              <w:rPr>
                <w:color w:val="000000"/>
                <w:kern w:val="0"/>
                <w:szCs w:val="21"/>
              </w:rPr>
              <w:t>接管无老化破损（特别是冷却冷凝系统的橡胶管接口处）</w:t>
            </w:r>
            <w:r>
              <w:rPr>
                <w:rFonts w:hint="eastAsia"/>
                <w:color w:val="000000"/>
                <w:kern w:val="0"/>
                <w:szCs w:val="21"/>
              </w:rPr>
              <w:t>；实验技术人员清楚</w:t>
            </w:r>
            <w:r>
              <w:rPr>
                <w:color w:val="000000"/>
                <w:kern w:val="0"/>
                <w:szCs w:val="21"/>
              </w:rPr>
              <w:t>所在楼层及实验室</w:t>
            </w:r>
            <w:r>
              <w:rPr>
                <w:rFonts w:hint="eastAsia"/>
                <w:color w:val="000000"/>
                <w:kern w:val="0"/>
                <w:szCs w:val="21"/>
              </w:rPr>
              <w:t>的各级水管</w:t>
            </w:r>
            <w:r>
              <w:rPr>
                <w:color w:val="000000"/>
                <w:kern w:val="0"/>
                <w:szCs w:val="21"/>
              </w:rPr>
              <w:t>总阀</w:t>
            </w:r>
            <w:r>
              <w:rPr>
                <w:rFonts w:hint="eastAsia"/>
                <w:color w:val="000000"/>
                <w:kern w:val="0"/>
                <w:szCs w:val="21"/>
              </w:rPr>
              <w:t>位置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7.2</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个人</w:t>
            </w:r>
            <w:r>
              <w:rPr>
                <w:b/>
                <w:kern w:val="0"/>
                <w:szCs w:val="21"/>
              </w:rPr>
              <w:t>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shd w:val="clear" w:color="auto" w:fill="auto"/>
            <w:tcMar>
              <w:left w:w="45" w:type="dxa"/>
              <w:right w:w="45" w:type="dxa"/>
            </w:tcMar>
            <w:vAlign w:val="center"/>
          </w:tcPr>
          <w:p>
            <w:pPr>
              <w:widowControl/>
              <w:spacing w:line="300" w:lineRule="exact"/>
              <w:rPr>
                <w:kern w:val="0"/>
                <w:szCs w:val="21"/>
              </w:rPr>
            </w:pPr>
            <w:r>
              <w:rPr>
                <w:rFonts w:hint="eastAsia"/>
                <w:kern w:val="0"/>
                <w:szCs w:val="21"/>
              </w:rPr>
              <w:t>实验人员需配备合适的个人防护用具</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长袖实验服或防护服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；穿着化学、生物类实验服或带实验手套，不得随意出入非实验区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个人防护用具分散存放，并有明显标识</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分散存放在安全场所，紧急情况下便于取用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b/>
                <w:bCs/>
                <w:kern w:val="0"/>
                <w:szCs w:val="21"/>
              </w:rPr>
              <w:t>7.3</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7.3.1</w:t>
            </w:r>
          </w:p>
        </w:tc>
        <w:tc>
          <w:tcPr>
            <w:tcW w:w="3820" w:type="dxa"/>
            <w:shd w:val="clear" w:color="auto" w:fill="auto"/>
            <w:tcMar>
              <w:left w:w="45" w:type="dxa"/>
              <w:right w:w="45" w:type="dxa"/>
            </w:tcMar>
            <w:vAlign w:val="center"/>
          </w:tcPr>
          <w:p>
            <w:pPr>
              <w:widowControl/>
              <w:spacing w:line="300" w:lineRule="exact"/>
              <w:jc w:val="left"/>
              <w:rPr>
                <w:kern w:val="0"/>
                <w:szCs w:val="21"/>
              </w:rPr>
            </w:pPr>
            <w:r>
              <w:rPr>
                <w:kern w:val="0"/>
                <w:szCs w:val="21"/>
              </w:rPr>
              <w:t>危险性实验（如高温、高压、高速运转等）时必须有两人在场</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7.3.2</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实验台面整洁、实验记录规范</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8</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8.1</w:t>
            </w:r>
          </w:p>
        </w:tc>
        <w:tc>
          <w:tcPr>
            <w:tcW w:w="14023" w:type="dxa"/>
            <w:gridSpan w:val="3"/>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8.1.1</w:t>
            </w:r>
          </w:p>
        </w:tc>
        <w:tc>
          <w:tcPr>
            <w:tcW w:w="3820" w:type="dxa"/>
            <w:shd w:val="clear" w:color="auto" w:fill="auto"/>
            <w:tcMar>
              <w:left w:w="45" w:type="dxa"/>
              <w:right w:w="45" w:type="dxa"/>
            </w:tcMar>
            <w:vAlign w:val="center"/>
          </w:tcPr>
          <w:p>
            <w:pPr>
              <w:spacing w:line="300" w:lineRule="exact"/>
              <w:jc w:val="left"/>
              <w:rPr>
                <w:kern w:val="0"/>
                <w:szCs w:val="21"/>
              </w:rPr>
            </w:pPr>
            <w:r>
              <w:rPr>
                <w:kern w:val="0"/>
                <w:szCs w:val="21"/>
              </w:rPr>
              <w:t>危险化学品要向具有</w:t>
            </w:r>
            <w:r>
              <w:rPr>
                <w:rFonts w:hint="eastAsia"/>
                <w:kern w:val="0"/>
                <w:szCs w:val="21"/>
              </w:rPr>
              <w:t>危</w:t>
            </w:r>
            <w:r>
              <w:rPr>
                <w:kern w:val="0"/>
                <w:szCs w:val="21"/>
              </w:rPr>
              <w:t>化品生产经营</w:t>
            </w:r>
            <w:r>
              <w:rPr>
                <w:rFonts w:hint="eastAsia"/>
                <w:kern w:val="0"/>
                <w:szCs w:val="21"/>
              </w:rPr>
              <w:t>许可</w:t>
            </w:r>
            <w:r>
              <w:rPr>
                <w:kern w:val="0"/>
                <w:szCs w:val="21"/>
              </w:rPr>
              <w:t>资质的单位购买</w:t>
            </w:r>
          </w:p>
        </w:tc>
        <w:tc>
          <w:tcPr>
            <w:tcW w:w="7374"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查看相关供应商的行政许可资质证书复印件</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8.1.2</w:t>
            </w:r>
          </w:p>
        </w:tc>
        <w:tc>
          <w:tcPr>
            <w:tcW w:w="382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shd w:val="clear" w:color="auto" w:fill="auto"/>
            <w:tcMar>
              <w:left w:w="45" w:type="dxa"/>
              <w:right w:w="45" w:type="dxa"/>
            </w:tcMar>
            <w:vAlign w:val="center"/>
          </w:tcPr>
          <w:p>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记录；购买危险化学品应有规范的验收记录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8.1.3</w:t>
            </w:r>
          </w:p>
        </w:tc>
        <w:tc>
          <w:tcPr>
            <w:tcW w:w="3820" w:type="dxa"/>
            <w:shd w:val="clear" w:color="auto" w:fill="auto"/>
            <w:tcMar>
              <w:left w:w="45" w:type="dxa"/>
              <w:right w:w="45" w:type="dxa"/>
            </w:tcMar>
            <w:vAlign w:val="center"/>
          </w:tcPr>
          <w:p>
            <w:pPr>
              <w:spacing w:line="300" w:lineRule="exact"/>
              <w:jc w:val="left"/>
              <w:rPr>
                <w:kern w:val="0"/>
                <w:szCs w:val="21"/>
              </w:rPr>
            </w:pPr>
            <w:r>
              <w:rPr>
                <w:kern w:val="0"/>
                <w:szCs w:val="21"/>
              </w:rPr>
              <w:t>麻醉药品、精神药品等购买前须向食品药品监督管理部门申请</w:t>
            </w:r>
          </w:p>
        </w:tc>
        <w:tc>
          <w:tcPr>
            <w:tcW w:w="7374" w:type="dxa"/>
            <w:shd w:val="clear" w:color="auto" w:fill="auto"/>
            <w:tcMar>
              <w:left w:w="45" w:type="dxa"/>
              <w:right w:w="45" w:type="dxa"/>
            </w:tcMar>
            <w:vAlign w:val="center"/>
          </w:tcPr>
          <w:p>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8.1.4</w:t>
            </w:r>
          </w:p>
        </w:tc>
        <w:tc>
          <w:tcPr>
            <w:tcW w:w="3820" w:type="dxa"/>
            <w:shd w:val="clear" w:color="auto" w:fill="auto"/>
            <w:tcMar>
              <w:left w:w="45" w:type="dxa"/>
              <w:right w:w="45" w:type="dxa"/>
            </w:tcMar>
            <w:vAlign w:val="center"/>
          </w:tcPr>
          <w:p>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7374"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8.2</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实验室</w:t>
            </w:r>
            <w:r>
              <w:rPr>
                <w:b/>
                <w:kern w:val="0"/>
                <w:szCs w:val="21"/>
              </w:rPr>
              <w:t>化学试剂存放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8.2.1</w:t>
            </w:r>
          </w:p>
        </w:tc>
        <w:tc>
          <w:tcPr>
            <w:tcW w:w="3820" w:type="dxa"/>
            <w:shd w:val="clear" w:color="auto" w:fill="auto"/>
            <w:tcMar>
              <w:left w:w="45" w:type="dxa"/>
              <w:right w:w="45" w:type="dxa"/>
            </w:tcMar>
            <w:vAlign w:val="center"/>
          </w:tcPr>
          <w:p>
            <w:pPr>
              <w:widowControl/>
              <w:spacing w:line="300" w:lineRule="exact"/>
              <w:rPr>
                <w:b/>
                <w:kern w:val="0"/>
                <w:szCs w:val="21"/>
              </w:rPr>
            </w:pPr>
            <w:r>
              <w:rPr>
                <w:rFonts w:hint="eastAsia"/>
                <w:kern w:val="0"/>
                <w:szCs w:val="21"/>
              </w:rPr>
              <w:t>实验室</w:t>
            </w:r>
            <w:r>
              <w:rPr>
                <w:kern w:val="0"/>
                <w:szCs w:val="21"/>
              </w:rPr>
              <w:t>内化学品</w:t>
            </w:r>
            <w:r>
              <w:rPr>
                <w:rFonts w:hint="eastAsia"/>
                <w:kern w:val="0"/>
                <w:szCs w:val="21"/>
              </w:rPr>
              <w:t>建有</w:t>
            </w:r>
            <w:r>
              <w:rPr>
                <w:kern w:val="0"/>
                <w:szCs w:val="21"/>
              </w:rPr>
              <w:t>动态</w:t>
            </w:r>
            <w:r>
              <w:rPr>
                <w:rFonts w:hint="eastAsia"/>
                <w:kern w:val="0"/>
                <w:szCs w:val="21"/>
              </w:rPr>
              <w:t>使用</w:t>
            </w:r>
            <w:r>
              <w:rPr>
                <w:kern w:val="0"/>
                <w:szCs w:val="21"/>
              </w:rPr>
              <w:t>台帐</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化学品安全技术说明书（MSDS）或安全周知卡，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.2.2</w:t>
            </w:r>
          </w:p>
        </w:tc>
        <w:tc>
          <w:tcPr>
            <w:tcW w:w="3820" w:type="dxa"/>
            <w:shd w:val="clear" w:color="auto" w:fill="auto"/>
            <w:tcMar>
              <w:left w:w="45" w:type="dxa"/>
              <w:right w:w="45" w:type="dxa"/>
            </w:tcMar>
            <w:vAlign w:val="center"/>
          </w:tcPr>
          <w:p>
            <w:pPr>
              <w:widowControl/>
              <w:spacing w:line="300" w:lineRule="exact"/>
              <w:rPr>
                <w:szCs w:val="21"/>
              </w:rPr>
            </w:pPr>
            <w:r>
              <w:rPr>
                <w:rFonts w:hint="eastAsia"/>
                <w:szCs w:val="21"/>
              </w:rPr>
              <w:t>试剂药品有专用存放空间并科学有序存放</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szCs w:val="21"/>
              </w:rPr>
              <w:t>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化学品有序分类存放；配备必要的二次泄漏防护、吸附或防溢流功能；试剂不得叠放、配伍禁忌化学品不得混存、固体液体不混乱放置、装有试剂的试剂瓶不得开口放置；实验台架无挡板不得存放化学试剂</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8.2.3</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实验室内存放的危险化学品总量符合规定要求</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原</w:t>
            </w:r>
            <w:r>
              <w:rPr>
                <w:kern w:val="0"/>
                <w:szCs w:val="21"/>
              </w:rPr>
              <w:t>则上</w:t>
            </w:r>
            <w:r>
              <w:rPr>
                <w:rFonts w:hint="eastAsia"/>
                <w:kern w:val="0"/>
                <w:szCs w:val="21"/>
              </w:rPr>
              <w:t>不应超过100L或100kg，其中易燃易爆性化学品的存放总量不应超过50L 或50kg，且单一包装容器不应大于20L或20kg；</w:t>
            </w:r>
            <w:r>
              <w:rPr>
                <w:kern w:val="0"/>
                <w:szCs w:val="21"/>
              </w:rPr>
              <w:t>单个实验装置存在10L以上甲类物质储罐，或20L以上乙类物质储罐，或50L以上丙类物质储罐，需加装泄露报警器及通风联动装置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8.2.4</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化学品标签应有显著完整清晰</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ascii="宋体" w:hAnsi="ºÚÌå" w:cs="宋体"/>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hint="eastAsia" w:ascii="宋体" w:hAnsi="ºÚÌå" w:cs="宋体"/>
                <w:kern w:val="0"/>
                <w:szCs w:val="21"/>
              </w:rPr>
              <w:t>后应及时补上，如不能确认，则以废弃化学品处置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8.3</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8.3.</w:t>
            </w:r>
            <w:r>
              <w:rPr>
                <w:rFonts w:hint="eastAsia"/>
                <w:kern w:val="0"/>
                <w:szCs w:val="21"/>
              </w:rPr>
              <w:t>1</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指导书、应急预案</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8.3.2</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8.3.3</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做好有毒和异味废气的收集和防护</w:t>
            </w:r>
          </w:p>
        </w:tc>
        <w:tc>
          <w:tcPr>
            <w:tcW w:w="7374" w:type="dxa"/>
            <w:shd w:val="clear" w:color="auto" w:fill="auto"/>
            <w:tcMar>
              <w:left w:w="45" w:type="dxa"/>
              <w:right w:w="45" w:type="dxa"/>
            </w:tcMar>
            <w:vAlign w:val="center"/>
          </w:tcPr>
          <w:p>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8.4</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管控类化学品</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8.4.1</w:t>
            </w:r>
          </w:p>
        </w:tc>
        <w:tc>
          <w:tcPr>
            <w:tcW w:w="3820" w:type="dxa"/>
            <w:shd w:val="clear" w:color="auto" w:fill="auto"/>
            <w:tcMar>
              <w:left w:w="45" w:type="dxa"/>
              <w:right w:w="45" w:type="dxa"/>
            </w:tcMar>
            <w:vAlign w:val="center"/>
          </w:tcPr>
          <w:p>
            <w:pPr>
              <w:widowControl/>
              <w:spacing w:line="300" w:lineRule="exact"/>
              <w:jc w:val="left"/>
              <w:rPr>
                <w:kern w:val="0"/>
                <w:szCs w:val="21"/>
              </w:rPr>
            </w:pPr>
            <w:r>
              <w:rPr>
                <w:kern w:val="0"/>
                <w:szCs w:val="21"/>
              </w:rPr>
              <w:t>易制毒品</w:t>
            </w:r>
            <w:r>
              <w:rPr>
                <w:rFonts w:hint="eastAsia"/>
                <w:kern w:val="0"/>
                <w:szCs w:val="21"/>
              </w:rPr>
              <w:t>、易制爆品</w:t>
            </w:r>
            <w:r>
              <w:rPr>
                <w:kern w:val="0"/>
                <w:szCs w:val="21"/>
              </w:rPr>
              <w:t>分类存放、专人保管，做好领取、使用、处置记录</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kern w:val="0"/>
                <w:szCs w:val="21"/>
              </w:rPr>
              <w:t>其中第一类易制毒品实行“五双”管理制度</w:t>
            </w:r>
            <w:r>
              <w:rPr>
                <w:rFonts w:hint="eastAsia"/>
                <w:kern w:val="0"/>
                <w:szCs w:val="21"/>
              </w:rPr>
              <w:t>；剧毒品</w:t>
            </w:r>
            <w:r>
              <w:rPr>
                <w:kern w:val="0"/>
                <w:szCs w:val="21"/>
              </w:rPr>
              <w:t>配备专门的保险柜并固定，实行双人双锁保管</w:t>
            </w:r>
            <w:r>
              <w:rPr>
                <w:rFonts w:hint="eastAsia"/>
                <w:kern w:val="0"/>
                <w:szCs w:val="21"/>
              </w:rPr>
              <w:t>制度；</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装置；剧毒品使用时须有两人同时在场；</w:t>
            </w:r>
            <w:r>
              <w:rPr>
                <w:kern w:val="0"/>
                <w:szCs w:val="21"/>
              </w:rPr>
              <w:t>剧毒品处置</w:t>
            </w:r>
            <w:r>
              <w:rPr>
                <w:rFonts w:hint="eastAsia"/>
                <w:kern w:val="0"/>
                <w:szCs w:val="21"/>
              </w:rPr>
              <w:t>建有规范流</w:t>
            </w:r>
            <w:r>
              <w:rPr>
                <w:kern w:val="0"/>
                <w:szCs w:val="21"/>
              </w:rPr>
              <w:t>程</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8.</w:t>
            </w:r>
            <w:r>
              <w:rPr>
                <w:rFonts w:hint="eastAsia"/>
                <w:color w:val="000000"/>
                <w:kern w:val="0"/>
                <w:szCs w:val="21"/>
              </w:rPr>
              <w:t>4</w:t>
            </w:r>
            <w:r>
              <w:rPr>
                <w:color w:val="000000"/>
                <w:kern w:val="0"/>
                <w:szCs w:val="21"/>
              </w:rPr>
              <w:t>.</w:t>
            </w:r>
            <w:r>
              <w:rPr>
                <w:rFonts w:hint="eastAsia"/>
                <w:color w:val="000000"/>
                <w:kern w:val="0"/>
                <w:szCs w:val="21"/>
              </w:rPr>
              <w:t>2</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爆炸品单独隔离</w:t>
            </w:r>
            <w:r>
              <w:rPr>
                <w:rFonts w:hint="eastAsia"/>
                <w:color w:val="000000"/>
                <w:kern w:val="0"/>
                <w:szCs w:val="21"/>
              </w:rPr>
              <w:t>，限</w:t>
            </w:r>
            <w:r>
              <w:rPr>
                <w:color w:val="000000"/>
                <w:kern w:val="0"/>
                <w:szCs w:val="21"/>
              </w:rPr>
              <w:t>量存储</w:t>
            </w:r>
            <w:r>
              <w:rPr>
                <w:rFonts w:hint="eastAsia"/>
                <w:color w:val="000000"/>
                <w:kern w:val="0"/>
                <w:szCs w:val="21"/>
              </w:rPr>
              <w:t>，</w:t>
            </w:r>
            <w:r>
              <w:rPr>
                <w:color w:val="000000"/>
                <w:kern w:val="0"/>
                <w:szCs w:val="21"/>
              </w:rPr>
              <w:t>使用、销毁按照公安部门的要求执行</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查看</w:t>
            </w:r>
            <w:r>
              <w:rPr>
                <w:bCs/>
                <w:color w:val="000000"/>
                <w:kern w:val="0"/>
                <w:szCs w:val="21"/>
              </w:rPr>
              <w:t>现场、记录本</w:t>
            </w:r>
            <w:r>
              <w:rPr>
                <w:rFonts w:hint="eastAsia"/>
                <w:bCs/>
                <w:color w:val="000000"/>
                <w:kern w:val="0"/>
                <w:szCs w:val="21"/>
              </w:rPr>
              <w:t>；</w:t>
            </w:r>
            <w:r>
              <w:rPr>
                <w:bCs/>
                <w:color w:val="000000"/>
                <w:kern w:val="0"/>
                <w:szCs w:val="21"/>
              </w:rPr>
              <w:t xml:space="preserve"> </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8.</w:t>
            </w:r>
            <w:r>
              <w:rPr>
                <w:rFonts w:hint="eastAsia"/>
                <w:color w:val="000000"/>
                <w:kern w:val="0"/>
                <w:szCs w:val="21"/>
              </w:rPr>
              <w:t>4</w:t>
            </w:r>
            <w:r>
              <w:rPr>
                <w:color w:val="000000"/>
                <w:kern w:val="0"/>
                <w:szCs w:val="21"/>
              </w:rPr>
              <w:t>.</w:t>
            </w:r>
            <w:r>
              <w:rPr>
                <w:rFonts w:hint="eastAsia"/>
                <w:color w:val="000000"/>
                <w:kern w:val="0"/>
                <w:szCs w:val="21"/>
              </w:rPr>
              <w:t>3</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麻醉品和精神类药品储存于专门的保险柜中，有规范的领取、使用、处置台账</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查看</w:t>
            </w:r>
            <w:r>
              <w:rPr>
                <w:bCs/>
                <w:color w:val="000000"/>
                <w:kern w:val="0"/>
                <w:szCs w:val="21"/>
              </w:rPr>
              <w:t>现场、记录本</w:t>
            </w:r>
            <w:r>
              <w:rPr>
                <w:rFonts w:hint="eastAsia"/>
                <w:bCs/>
                <w:color w:val="000000"/>
                <w:kern w:val="0"/>
                <w:szCs w:val="21"/>
              </w:rPr>
              <w:t>；</w:t>
            </w:r>
            <w:r>
              <w:rPr>
                <w:bCs/>
                <w:color w:val="000000"/>
                <w:kern w:val="0"/>
                <w:szCs w:val="21"/>
              </w:rPr>
              <w:t xml:space="preserve"> </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8.5.2</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气体的存放和使用符合相关要求</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r>
              <w:rPr>
                <w:rFonts w:hint="eastAsia"/>
                <w:kern w:val="0"/>
                <w:szCs w:val="21"/>
              </w:rPr>
              <w:t>；</w:t>
            </w:r>
            <w:r>
              <w:rPr>
                <w:kern w:val="0"/>
                <w:szCs w:val="21"/>
              </w:rPr>
              <w:t>无大量气体钢瓶堆放现象</w:t>
            </w:r>
            <w:r>
              <w:rPr>
                <w:rFonts w:hint="eastAsia"/>
                <w:kern w:val="0"/>
                <w:szCs w:val="21"/>
              </w:rPr>
              <w:t>；</w:t>
            </w:r>
            <w:r>
              <w:rPr>
                <w:rFonts w:hint="eastAsia" w:ascii="宋体" w:cs="宋体"/>
                <w:kern w:val="0"/>
                <w:szCs w:val="21"/>
              </w:rPr>
              <w:t>每间实验室内存放的氧气和可燃气体不宜超过一瓶，其他气瓶的存放，应控制在最小需求量；</w:t>
            </w:r>
            <w:r>
              <w:rPr>
                <w:kern w:val="0"/>
                <w:szCs w:val="21"/>
              </w:rPr>
              <w:t>气体钢瓶不得放在走廊、大厅等公共场所</w:t>
            </w:r>
            <w:r>
              <w:rPr>
                <w:rFonts w:hint="eastAsia"/>
                <w:kern w:val="0"/>
                <w:szCs w:val="21"/>
              </w:rPr>
              <w:t>；</w:t>
            </w: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r>
              <w:rPr>
                <w:rFonts w:hint="eastAsia"/>
                <w:kern w:val="0"/>
                <w:szCs w:val="21"/>
              </w:rPr>
              <w:t>；</w:t>
            </w:r>
            <w:r>
              <w:rPr>
                <w:kern w:val="0"/>
                <w:szCs w:val="21"/>
              </w:rPr>
              <w:t>可燃性气体与氧气等助燃气体不混放</w:t>
            </w:r>
            <w:r>
              <w:rPr>
                <w:rFonts w:hint="eastAsia"/>
                <w:kern w:val="0"/>
                <w:szCs w:val="21"/>
              </w:rPr>
              <w:t>；建有独</w:t>
            </w:r>
            <w:r>
              <w:rPr>
                <w:kern w:val="0"/>
                <w:szCs w:val="21"/>
              </w:rPr>
              <w:t>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设置必要的气体报警装置</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、CO</w:t>
            </w:r>
            <w:r>
              <w:rPr>
                <w:szCs w:val="21"/>
                <w:vertAlign w:val="subscript"/>
              </w:rPr>
              <w:t>2</w:t>
            </w:r>
            <w:r>
              <w:rPr>
                <w:rFonts w:hint="eastAsia"/>
                <w:szCs w:val="21"/>
              </w:rPr>
              <w:t>的较小密闭</w:t>
            </w:r>
            <w:r>
              <w:rPr>
                <w:szCs w:val="21"/>
              </w:rPr>
              <w:t>空间</w:t>
            </w:r>
            <w:r>
              <w:rPr>
                <w:rFonts w:hint="eastAsia"/>
                <w:szCs w:val="21"/>
              </w:rPr>
              <w:t>，</w:t>
            </w:r>
            <w:r>
              <w:rPr>
                <w:rFonts w:hint="eastAsia"/>
                <w:bCs/>
                <w:kern w:val="0"/>
                <w:szCs w:val="21"/>
              </w:rPr>
              <w:t>防止</w:t>
            </w:r>
            <w:r>
              <w:rPr>
                <w:bCs/>
                <w:kern w:val="0"/>
                <w:szCs w:val="21"/>
              </w:rPr>
              <w:t>大量泄漏或蒸发导致缺氧</w:t>
            </w:r>
            <w:r>
              <w:rPr>
                <w:rFonts w:hint="eastAsia"/>
                <w:bCs/>
                <w:kern w:val="0"/>
                <w:szCs w:val="21"/>
              </w:rPr>
              <w:t>，</w:t>
            </w:r>
            <w:r>
              <w:rPr>
                <w:szCs w:val="21"/>
              </w:rPr>
              <w:t>需加装氧气含量报警</w:t>
            </w:r>
            <w:r>
              <w:rPr>
                <w:rFonts w:hint="eastAsia"/>
                <w:szCs w:val="21"/>
              </w:rPr>
              <w:t>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8.5.4</w:t>
            </w:r>
          </w:p>
        </w:tc>
        <w:tc>
          <w:tcPr>
            <w:tcW w:w="3820" w:type="dxa"/>
            <w:shd w:val="clear" w:color="auto" w:fill="auto"/>
            <w:tcMar>
              <w:left w:w="45" w:type="dxa"/>
              <w:right w:w="45" w:type="dxa"/>
            </w:tcMar>
            <w:vAlign w:val="center"/>
          </w:tcPr>
          <w:p>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钢瓶帽；钢瓶中的气体是明确的，无过期钢瓶；确认“满、使用中、用完”三种状态；及时关闭气瓶总阀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b/>
                <w:kern w:val="0"/>
                <w:szCs w:val="21"/>
              </w:rPr>
              <w:t>化学废弃物处置</w:t>
            </w:r>
            <w:r>
              <w:rPr>
                <w:rFonts w:hint="eastAsia"/>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8.</w:t>
            </w:r>
            <w:r>
              <w:rPr>
                <w:rFonts w:hint="eastAsia"/>
                <w:color w:val="000000"/>
                <w:kern w:val="0"/>
                <w:szCs w:val="21"/>
              </w:rPr>
              <w:t>6</w:t>
            </w:r>
            <w:r>
              <w:rPr>
                <w:color w:val="000000"/>
                <w:kern w:val="0"/>
                <w:szCs w:val="21"/>
              </w:rPr>
              <w:t>.1</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化学废弃物</w:t>
            </w:r>
            <w:r>
              <w:rPr>
                <w:rFonts w:hint="eastAsia"/>
                <w:color w:val="000000"/>
                <w:kern w:val="0"/>
                <w:szCs w:val="21"/>
              </w:rPr>
              <w:t>由具备</w:t>
            </w:r>
            <w:r>
              <w:rPr>
                <w:color w:val="000000"/>
                <w:kern w:val="0"/>
                <w:szCs w:val="21"/>
              </w:rPr>
              <w:t>资质的单位（企业）签约处置</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化学废弃物</w:t>
            </w:r>
            <w:r>
              <w:rPr>
                <w:color w:val="000000"/>
                <w:kern w:val="0"/>
                <w:szCs w:val="21"/>
              </w:rPr>
              <w:t>包装严密，及时送学校中转站或</w:t>
            </w:r>
            <w:r>
              <w:rPr>
                <w:rFonts w:hint="eastAsia"/>
                <w:color w:val="000000"/>
                <w:kern w:val="0"/>
                <w:szCs w:val="21"/>
              </w:rPr>
              <w:t>收集</w:t>
            </w:r>
            <w:r>
              <w:rPr>
                <w:color w:val="000000"/>
                <w:kern w:val="0"/>
                <w:szCs w:val="21"/>
              </w:rPr>
              <w:t>点</w:t>
            </w:r>
            <w:r>
              <w:rPr>
                <w:rFonts w:hint="eastAsia"/>
                <w:color w:val="000000"/>
                <w:kern w:val="0"/>
                <w:szCs w:val="21"/>
              </w:rPr>
              <w:t>；</w:t>
            </w:r>
            <w:r>
              <w:rPr>
                <w:color w:val="000000"/>
                <w:kern w:val="0"/>
                <w:szCs w:val="21"/>
              </w:rPr>
              <w:t>学校定时清运化学实验废弃物</w:t>
            </w:r>
            <w:r>
              <w:rPr>
                <w:rFonts w:hint="eastAsia"/>
                <w:color w:val="000000"/>
                <w:kern w:val="0"/>
                <w:szCs w:val="21"/>
              </w:rPr>
              <w:t>，无</w:t>
            </w:r>
            <w:r>
              <w:rPr>
                <w:color w:val="000000"/>
                <w:kern w:val="0"/>
                <w:szCs w:val="21"/>
              </w:rPr>
              <w:t>室外堆放实验废弃物现象</w:t>
            </w:r>
            <w:r>
              <w:rPr>
                <w:rFonts w:hint="eastAsia"/>
                <w:color w:val="000000"/>
                <w:kern w:val="0"/>
                <w:szCs w:val="21"/>
              </w:rPr>
              <w:t>；化学实验</w:t>
            </w:r>
            <w:r>
              <w:rPr>
                <w:color w:val="000000"/>
                <w:kern w:val="0"/>
                <w:szCs w:val="21"/>
              </w:rPr>
              <w:t>固</w:t>
            </w:r>
            <w:r>
              <w:rPr>
                <w:rFonts w:hint="eastAsia"/>
                <w:color w:val="000000"/>
                <w:kern w:val="0"/>
                <w:szCs w:val="21"/>
              </w:rPr>
              <w:t>体</w:t>
            </w:r>
            <w:r>
              <w:rPr>
                <w:color w:val="000000"/>
                <w:kern w:val="0"/>
                <w:szCs w:val="21"/>
              </w:rPr>
              <w:t>废物和生活垃圾不混放，不向下水道倾倒废旧化学试剂</w:t>
            </w:r>
            <w:r>
              <w:rPr>
                <w:rFonts w:hint="eastAsia"/>
                <w:color w:val="000000"/>
                <w:kern w:val="0"/>
                <w:szCs w:val="21"/>
              </w:rPr>
              <w:t>和</w:t>
            </w:r>
            <w:r>
              <w:rPr>
                <w:color w:val="000000"/>
                <w:kern w:val="0"/>
                <w:szCs w:val="21"/>
              </w:rPr>
              <w:t>废液</w:t>
            </w:r>
            <w:r>
              <w:rPr>
                <w:rFonts w:hint="eastAsia"/>
                <w:color w:val="000000"/>
                <w:kern w:val="0"/>
                <w:szCs w:val="21"/>
              </w:rPr>
              <w:t>。</w:t>
            </w:r>
            <w:r>
              <w:rPr>
                <w:rFonts w:hint="eastAsia"/>
                <w:bCs/>
                <w:color w:val="000000"/>
                <w:kern w:val="0"/>
                <w:szCs w:val="21"/>
              </w:rPr>
              <w:t>查看</w:t>
            </w:r>
            <w:r>
              <w:rPr>
                <w:bCs/>
                <w:color w:val="000000"/>
                <w:kern w:val="0"/>
                <w:szCs w:val="21"/>
              </w:rPr>
              <w:t>委托合同及处置单位的资质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8.</w:t>
            </w:r>
            <w:r>
              <w:rPr>
                <w:rFonts w:hint="eastAsia"/>
                <w:color w:val="000000"/>
                <w:kern w:val="0"/>
                <w:szCs w:val="21"/>
              </w:rPr>
              <w:t>6</w:t>
            </w:r>
            <w:r>
              <w:rPr>
                <w:color w:val="000000"/>
                <w:kern w:val="0"/>
                <w:szCs w:val="21"/>
              </w:rPr>
              <w:t>.2</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统一的化学实验废弃物标签</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标签信息包括：</w:t>
            </w:r>
            <w:r>
              <w:rPr>
                <w:color w:val="000000"/>
                <w:kern w:val="0"/>
                <w:szCs w:val="21"/>
              </w:rPr>
              <w:t>废物类别、危险</w:t>
            </w:r>
            <w:r>
              <w:rPr>
                <w:rFonts w:hint="eastAsia"/>
                <w:color w:val="000000"/>
                <w:kern w:val="0"/>
                <w:szCs w:val="21"/>
              </w:rPr>
              <w:t>特性</w:t>
            </w:r>
            <w:r>
              <w:rPr>
                <w:color w:val="000000"/>
                <w:kern w:val="0"/>
                <w:szCs w:val="21"/>
              </w:rPr>
              <w:t>、主要成分、产生</w:t>
            </w:r>
            <w:r>
              <w:rPr>
                <w:rFonts w:hint="eastAsia"/>
                <w:color w:val="000000"/>
                <w:kern w:val="0"/>
                <w:szCs w:val="21"/>
              </w:rPr>
              <w:t>部门</w:t>
            </w:r>
            <w:r>
              <w:rPr>
                <w:color w:val="000000"/>
                <w:kern w:val="0"/>
                <w:szCs w:val="21"/>
              </w:rPr>
              <w:t>、送储人、日期等信息</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8.</w:t>
            </w:r>
            <w:r>
              <w:rPr>
                <w:rFonts w:hint="eastAsia"/>
                <w:color w:val="000000"/>
                <w:kern w:val="0"/>
                <w:szCs w:val="21"/>
              </w:rPr>
              <w:t>6</w:t>
            </w:r>
            <w:r>
              <w:rPr>
                <w:color w:val="000000"/>
                <w:kern w:val="0"/>
                <w:szCs w:val="21"/>
              </w:rPr>
              <w:t>.3</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配备化学实验废弃物分类容器</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color w:val="000000"/>
                <w:kern w:val="0"/>
                <w:szCs w:val="21"/>
              </w:rPr>
              <w:t>对化学废弃物进行分类</w:t>
            </w:r>
            <w:r>
              <w:rPr>
                <w:rFonts w:hint="eastAsia"/>
                <w:color w:val="000000"/>
                <w:kern w:val="0"/>
                <w:szCs w:val="21"/>
              </w:rPr>
              <w:t>收集</w:t>
            </w:r>
            <w:r>
              <w:rPr>
                <w:color w:val="000000"/>
                <w:kern w:val="0"/>
                <w:szCs w:val="21"/>
              </w:rPr>
              <w:t>与存放（应避免易产生剧烈反应的</w:t>
            </w:r>
            <w:r>
              <w:rPr>
                <w:rFonts w:hint="eastAsia"/>
                <w:color w:val="000000"/>
                <w:kern w:val="0"/>
                <w:szCs w:val="21"/>
              </w:rPr>
              <w:t>废弃物</w:t>
            </w:r>
            <w:r>
              <w:rPr>
                <w:color w:val="000000"/>
                <w:kern w:val="0"/>
                <w:szCs w:val="21"/>
              </w:rPr>
              <w:t>混放）、贴好标签，</w:t>
            </w:r>
            <w:r>
              <w:rPr>
                <w:rFonts w:hint="eastAsia"/>
                <w:color w:val="000000"/>
                <w:kern w:val="0"/>
                <w:szCs w:val="21"/>
              </w:rPr>
              <w:t>盖子</w:t>
            </w:r>
            <w:r>
              <w:rPr>
                <w:color w:val="000000"/>
                <w:kern w:val="0"/>
                <w:szCs w:val="21"/>
              </w:rPr>
              <w:t>不</w:t>
            </w:r>
            <w:r>
              <w:rPr>
                <w:rFonts w:hint="eastAsia"/>
                <w:color w:val="000000"/>
                <w:kern w:val="0"/>
                <w:szCs w:val="21"/>
              </w:rPr>
              <w:t>敞开；</w:t>
            </w:r>
            <w:r>
              <w:rPr>
                <w:color w:val="000000"/>
                <w:kern w:val="0"/>
                <w:szCs w:val="21"/>
              </w:rPr>
              <w:t>实验室内无大量存放</w:t>
            </w:r>
            <w:r>
              <w:rPr>
                <w:rFonts w:hint="eastAsia"/>
                <w:color w:val="000000"/>
                <w:kern w:val="0"/>
                <w:szCs w:val="21"/>
              </w:rPr>
              <w:t>现象；</w:t>
            </w:r>
            <w:r>
              <w:rPr>
                <w:rFonts w:hint="eastAsia"/>
                <w:bCs/>
                <w:color w:val="000000"/>
                <w:kern w:val="0"/>
                <w:szCs w:val="21"/>
              </w:rPr>
              <w:t>实验</w:t>
            </w:r>
            <w:r>
              <w:rPr>
                <w:bCs/>
                <w:color w:val="000000"/>
                <w:kern w:val="0"/>
                <w:szCs w:val="21"/>
              </w:rPr>
              <w:t>废弃物存放点</w:t>
            </w:r>
            <w:r>
              <w:rPr>
                <w:rFonts w:hint="eastAsia"/>
                <w:bCs/>
                <w:color w:val="000000"/>
                <w:kern w:val="0"/>
                <w:szCs w:val="21"/>
              </w:rPr>
              <w:t>位置</w:t>
            </w:r>
            <w:r>
              <w:rPr>
                <w:bCs/>
                <w:color w:val="000000"/>
                <w:kern w:val="0"/>
                <w:szCs w:val="21"/>
              </w:rPr>
              <w:t>合适</w:t>
            </w:r>
            <w:r>
              <w:rPr>
                <w:rFonts w:hint="eastAsia"/>
                <w:bCs/>
                <w:color w:val="000000"/>
                <w:kern w:val="0"/>
                <w:szCs w:val="21"/>
              </w:rPr>
              <w:t>无</w:t>
            </w:r>
            <w:r>
              <w:rPr>
                <w:bCs/>
                <w:color w:val="000000"/>
                <w:kern w:val="0"/>
                <w:szCs w:val="21"/>
              </w:rPr>
              <w:t>干扰</w:t>
            </w:r>
            <w:r>
              <w:rPr>
                <w:rFonts w:hint="eastAsia"/>
                <w:bCs/>
                <w:color w:val="000000"/>
                <w:kern w:val="0"/>
                <w:szCs w:val="21"/>
              </w:rPr>
              <w:t>、标签信息清晰、</w:t>
            </w:r>
            <w:r>
              <w:rPr>
                <w:bCs/>
                <w:color w:val="000000"/>
                <w:kern w:val="0"/>
                <w:szCs w:val="21"/>
              </w:rPr>
              <w:t>大桶</w:t>
            </w:r>
            <w:r>
              <w:rPr>
                <w:rFonts w:hint="eastAsia"/>
                <w:bCs/>
                <w:color w:val="000000"/>
                <w:kern w:val="0"/>
                <w:szCs w:val="21"/>
              </w:rPr>
              <w:t>存放时</w:t>
            </w:r>
            <w:r>
              <w:rPr>
                <w:bCs/>
                <w:color w:val="000000"/>
                <w:kern w:val="0"/>
                <w:szCs w:val="21"/>
              </w:rPr>
              <w:t>不能超过</w:t>
            </w:r>
            <w:r>
              <w:rPr>
                <w:rFonts w:hint="eastAsia"/>
                <w:bCs/>
                <w:color w:val="000000"/>
                <w:kern w:val="0"/>
                <w:szCs w:val="21"/>
              </w:rPr>
              <w:t>容量</w:t>
            </w:r>
            <w:r>
              <w:rPr>
                <w:bCs/>
                <w:color w:val="000000"/>
                <w:kern w:val="0"/>
                <w:szCs w:val="21"/>
              </w:rPr>
              <w:t>的</w:t>
            </w:r>
            <w:r>
              <w:rPr>
                <w:rFonts w:hint="eastAsia"/>
                <w:bCs/>
                <w:color w:val="000000"/>
                <w:kern w:val="0"/>
                <w:szCs w:val="21"/>
              </w:rPr>
              <w:t>2/3；</w:t>
            </w:r>
            <w:r>
              <w:rPr>
                <w:rFonts w:hint="eastAsia"/>
                <w:color w:val="000000"/>
                <w:kern w:val="0"/>
                <w:szCs w:val="21"/>
              </w:rPr>
              <w:t>对于</w:t>
            </w:r>
            <w:r>
              <w:rPr>
                <w:color w:val="000000"/>
                <w:kern w:val="0"/>
                <w:szCs w:val="21"/>
              </w:rPr>
              <w:t>危险性大的废弃物，要独立包装，标签信息明确</w:t>
            </w:r>
            <w:r>
              <w:rPr>
                <w:rFonts w:hint="eastAsia"/>
                <w:color w:val="000000"/>
                <w:kern w:val="0"/>
                <w:szCs w:val="21"/>
              </w:rPr>
              <w:t>；不能混合，尽量原瓶装，加贴废弃物标签</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b/>
                <w:bCs/>
                <w:kern w:val="0"/>
                <w:szCs w:val="21"/>
              </w:rPr>
              <w:t>8.7</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shd w:val="clear" w:color="auto" w:fill="auto"/>
            <w:tcMar>
              <w:left w:w="45" w:type="dxa"/>
              <w:right w:w="45" w:type="dxa"/>
            </w:tcMar>
            <w:vAlign w:val="center"/>
          </w:tcPr>
          <w:p>
            <w:pPr>
              <w:widowControl/>
              <w:spacing w:line="300" w:lineRule="exact"/>
              <w:jc w:val="left"/>
              <w:rPr>
                <w:kern w:val="0"/>
                <w:szCs w:val="21"/>
              </w:rPr>
            </w:pPr>
            <w:r>
              <w:rPr>
                <w:kern w:val="0"/>
                <w:szCs w:val="21"/>
              </w:rPr>
              <w:t>不使用破损量筒、试管等玻璃器皿</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.3</w:t>
            </w:r>
          </w:p>
        </w:tc>
        <w:tc>
          <w:tcPr>
            <w:tcW w:w="3820" w:type="dxa"/>
            <w:shd w:val="clear" w:color="auto" w:fill="auto"/>
            <w:tcMar>
              <w:left w:w="45" w:type="dxa"/>
              <w:right w:w="45" w:type="dxa"/>
            </w:tcMar>
            <w:vAlign w:val="center"/>
          </w:tcPr>
          <w:p>
            <w:pPr>
              <w:widowControl/>
              <w:spacing w:line="300" w:lineRule="exact"/>
              <w:jc w:val="left"/>
              <w:rPr>
                <w:kern w:val="0"/>
                <w:szCs w:val="21"/>
              </w:rPr>
            </w:pPr>
            <w:r>
              <w:rPr>
                <w:kern w:val="0"/>
                <w:szCs w:val="21"/>
              </w:rPr>
              <w:t>盛放配置试剂的烧杯、烧瓶不得无盖放置</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查看现场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9</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9.1</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9.1.1</w:t>
            </w:r>
          </w:p>
        </w:tc>
        <w:tc>
          <w:tcPr>
            <w:tcW w:w="3820" w:type="dxa"/>
            <w:shd w:val="clear" w:color="auto" w:fill="auto"/>
            <w:tcMar>
              <w:left w:w="45" w:type="dxa"/>
              <w:right w:w="45" w:type="dxa"/>
            </w:tcMar>
            <w:vAlign w:val="center"/>
          </w:tcPr>
          <w:p>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其中</w:t>
            </w:r>
            <w:r>
              <w:rPr>
                <w:kern w:val="0"/>
                <w:szCs w:val="21"/>
              </w:rPr>
              <w:t>BSL-3/ABSL-3、BSL-4/ABSL-4实验室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9.1.2</w:t>
            </w:r>
          </w:p>
        </w:tc>
        <w:tc>
          <w:tcPr>
            <w:tcW w:w="3820" w:type="dxa"/>
            <w:shd w:val="clear" w:color="auto" w:fill="auto"/>
            <w:tcMar>
              <w:left w:w="45" w:type="dxa"/>
              <w:right w:w="45" w:type="dxa"/>
            </w:tcMar>
            <w:vAlign w:val="center"/>
          </w:tcPr>
          <w:p>
            <w:pPr>
              <w:widowControl/>
              <w:spacing w:line="300" w:lineRule="exact"/>
              <w:jc w:val="left"/>
              <w:rPr>
                <w:kern w:val="0"/>
                <w:szCs w:val="21"/>
              </w:rPr>
            </w:pPr>
            <w:r>
              <w:rPr>
                <w:kern w:val="0"/>
                <w:szCs w:val="21"/>
              </w:rPr>
              <w:t>开展病原微生物实验须向卫生或农业主管部门申报备案</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9.1.3</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在规定等级实验室中开展涉及</w:t>
            </w:r>
            <w:r>
              <w:rPr>
                <w:kern w:val="0"/>
                <w:szCs w:val="21"/>
              </w:rPr>
              <w:t>致病性病原微生物</w:t>
            </w:r>
            <w:r>
              <w:rPr>
                <w:rFonts w:hint="eastAsia"/>
                <w:kern w:val="0"/>
                <w:szCs w:val="21"/>
              </w:rPr>
              <w:t>的实验</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kern w:val="0"/>
                <w:szCs w:val="21"/>
              </w:rPr>
              <w:t>开展未经灭活的高致病性病原微生物（列入一类、二类）相关实验和研究，必须在BSL-3/ABSL-3、BSL-4/ABSL-4实验室中进行</w:t>
            </w:r>
            <w:r>
              <w:rPr>
                <w:rFonts w:hint="eastAsia"/>
                <w:kern w:val="0"/>
                <w:szCs w:val="21"/>
              </w:rPr>
              <w:t>；</w:t>
            </w:r>
            <w:r>
              <w:rPr>
                <w:kern w:val="0"/>
                <w:szCs w:val="21"/>
              </w:rPr>
              <w:t>开展低致病性病原微生物（列入三类、四类），或经灭活的高致病性感染性材料的相关实验和研究，必须在BSL-1/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pPr>
              <w:widowControl/>
              <w:spacing w:line="300" w:lineRule="exact"/>
              <w:jc w:val="center"/>
              <w:rPr>
                <w:b/>
                <w:bCs/>
                <w:kern w:val="0"/>
                <w:szCs w:val="21"/>
              </w:rPr>
            </w:pPr>
          </w:p>
        </w:tc>
      </w:tr>
      <w:tr>
        <w:tblPrEx>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9.2</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9.2.1</w:t>
            </w:r>
          </w:p>
        </w:tc>
        <w:tc>
          <w:tcPr>
            <w:tcW w:w="3820" w:type="dxa"/>
            <w:shd w:val="clear" w:color="auto" w:fill="auto"/>
            <w:tcMar>
              <w:left w:w="45" w:type="dxa"/>
              <w:right w:w="45" w:type="dxa"/>
            </w:tcMar>
            <w:vAlign w:val="center"/>
          </w:tcPr>
          <w:p>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kern w:val="0"/>
                <w:szCs w:val="21"/>
              </w:rPr>
              <w:t>BSL-2/ABSL-2及以上安全等级实验室须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储存病原微生物的场所或储柜配备防盗设施，并安装监控报警装置</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9.2.</w:t>
            </w:r>
            <w:r>
              <w:rPr>
                <w:rFonts w:hint="eastAsia"/>
                <w:kern w:val="0"/>
                <w:szCs w:val="21"/>
              </w:rPr>
              <w:t>2</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kern w:val="0"/>
                <w:szCs w:val="21"/>
              </w:rPr>
              <w:t>配有</w:t>
            </w:r>
            <w:r>
              <w:rPr>
                <w:rFonts w:hint="eastAsia"/>
                <w:kern w:val="0"/>
                <w:szCs w:val="21"/>
              </w:rPr>
              <w:t>II级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9.3</w:t>
            </w:r>
          </w:p>
        </w:tc>
        <w:tc>
          <w:tcPr>
            <w:tcW w:w="14023" w:type="dxa"/>
            <w:gridSpan w:val="3"/>
            <w:shd w:val="clear" w:color="auto" w:fill="auto"/>
            <w:tcMar>
              <w:left w:w="45" w:type="dxa"/>
              <w:right w:w="45" w:type="dxa"/>
            </w:tcMar>
            <w:vAlign w:val="center"/>
          </w:tcPr>
          <w:p>
            <w:pPr>
              <w:widowControl/>
              <w:spacing w:line="300" w:lineRule="exact"/>
              <w:jc w:val="left"/>
              <w:rPr>
                <w:b/>
                <w:bCs/>
                <w:kern w:val="0"/>
                <w:szCs w:val="21"/>
              </w:rPr>
            </w:pPr>
            <w:r>
              <w:rPr>
                <w:rFonts w:hint="eastAsia"/>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shd w:val="clear" w:color="auto" w:fill="auto"/>
            <w:tcMar>
              <w:left w:w="45" w:type="dxa"/>
              <w:right w:w="45" w:type="dxa"/>
            </w:tcMar>
            <w:vAlign w:val="center"/>
          </w:tcPr>
          <w:p>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shd w:val="clear" w:color="auto" w:fill="auto"/>
            <w:tcMar>
              <w:left w:w="45" w:type="dxa"/>
              <w:right w:w="45" w:type="dxa"/>
            </w:tcMar>
            <w:vAlign w:val="center"/>
          </w:tcPr>
          <w:p>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shd w:val="clear" w:color="auto" w:fill="auto"/>
            <w:tcMar>
              <w:left w:w="45" w:type="dxa"/>
              <w:right w:w="45" w:type="dxa"/>
            </w:tcMar>
            <w:vAlign w:val="center"/>
          </w:tcPr>
          <w:p>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9.4</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人员</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9.4.1</w:t>
            </w:r>
          </w:p>
        </w:tc>
        <w:tc>
          <w:tcPr>
            <w:tcW w:w="3820" w:type="dxa"/>
            <w:shd w:val="clear" w:color="auto" w:fill="auto"/>
            <w:tcMar>
              <w:left w:w="45" w:type="dxa"/>
              <w:right w:w="45" w:type="dxa"/>
            </w:tcMar>
            <w:vAlign w:val="center"/>
          </w:tcPr>
          <w:p>
            <w:pPr>
              <w:widowControl/>
              <w:spacing w:line="300" w:lineRule="exact"/>
              <w:jc w:val="left"/>
              <w:rPr>
                <w:kern w:val="0"/>
                <w:szCs w:val="21"/>
              </w:rPr>
            </w:pPr>
            <w:r>
              <w:rPr>
                <w:kern w:val="0"/>
                <w:szCs w:val="21"/>
              </w:rPr>
              <w:t>开展病原微生物相关实验和研究的人员经过专业培训</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9.4.2</w:t>
            </w:r>
          </w:p>
        </w:tc>
        <w:tc>
          <w:tcPr>
            <w:tcW w:w="3820" w:type="dxa"/>
            <w:shd w:val="clear" w:color="auto" w:fill="auto"/>
            <w:tcMar>
              <w:left w:w="45" w:type="dxa"/>
              <w:right w:w="45" w:type="dxa"/>
            </w:tcMar>
            <w:vAlign w:val="center"/>
          </w:tcPr>
          <w:p>
            <w:pPr>
              <w:widowControl/>
              <w:spacing w:line="300" w:lineRule="exact"/>
              <w:jc w:val="left"/>
              <w:rPr>
                <w:szCs w:val="21"/>
              </w:rPr>
            </w:pPr>
            <w:r>
              <w:rPr>
                <w:rFonts w:hint="eastAsia"/>
                <w:szCs w:val="21"/>
              </w:rPr>
              <w:t>为从事高致病性病原微生物的工作人员提供适宜的医学评估</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9.4.3</w:t>
            </w:r>
          </w:p>
        </w:tc>
        <w:tc>
          <w:tcPr>
            <w:tcW w:w="3820" w:type="dxa"/>
            <w:shd w:val="clear" w:color="auto" w:fill="auto"/>
            <w:tcMar>
              <w:left w:w="45" w:type="dxa"/>
              <w:right w:w="45" w:type="dxa"/>
            </w:tcMar>
            <w:vAlign w:val="center"/>
          </w:tcPr>
          <w:p>
            <w:pPr>
              <w:widowControl/>
              <w:spacing w:line="300" w:lineRule="exact"/>
              <w:jc w:val="left"/>
              <w:rPr>
                <w:szCs w:val="21"/>
              </w:rPr>
            </w:pPr>
            <w:r>
              <w:rPr>
                <w:rFonts w:hint="eastAsia"/>
                <w:szCs w:val="21"/>
              </w:rPr>
              <w:t>制定相应的人员准入制度</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9.5</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9.5.1</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制定并采用生物安全手册，有相关标准操作规范</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9.5.2</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开展相关实验活动的风险评估和应急预案</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kern w:val="0"/>
                <w:szCs w:val="21"/>
              </w:rPr>
              <w:t>BSL-2 /ABSL-2及以上等级实验室，开展病原微生物的相关实验活动应有风险评估和应急预案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9.5.3</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实验操作合规，安全防护措施合理</w:t>
            </w:r>
          </w:p>
        </w:tc>
        <w:tc>
          <w:tcPr>
            <w:tcW w:w="7374" w:type="dxa"/>
            <w:shd w:val="clear" w:color="auto" w:fill="auto"/>
            <w:tcMar>
              <w:left w:w="45" w:type="dxa"/>
              <w:right w:w="45" w:type="dxa"/>
            </w:tcMar>
            <w:vAlign w:val="center"/>
          </w:tcPr>
          <w:p>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禁止戴防护手套操作设施设备（包括仪器、冰箱、电脑、电话、开关、门窗</w:t>
            </w:r>
            <w:r>
              <w:rPr>
                <w:rFonts w:hint="eastAsia"/>
                <w:szCs w:val="21"/>
              </w:rPr>
              <w:t>、</w:t>
            </w:r>
            <w:r>
              <w:rPr>
                <w:szCs w:val="21"/>
              </w:rPr>
              <w:t>柜子抽屉等）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9.6</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9.6.1</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9.6.2</w:t>
            </w:r>
          </w:p>
        </w:tc>
        <w:tc>
          <w:tcPr>
            <w:tcW w:w="3820" w:type="dxa"/>
            <w:shd w:val="clear" w:color="auto" w:fill="auto"/>
            <w:tcMar>
              <w:left w:w="45" w:type="dxa"/>
              <w:right w:w="45" w:type="dxa"/>
            </w:tcMar>
            <w:vAlign w:val="center"/>
          </w:tcPr>
          <w:p>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color w:val="000000"/>
                <w:kern w:val="0"/>
                <w:szCs w:val="21"/>
              </w:rPr>
            </w:pPr>
            <w:r>
              <w:rPr>
                <w:b/>
                <w:color w:val="000000"/>
                <w:kern w:val="0"/>
                <w:szCs w:val="21"/>
              </w:rPr>
              <w:t>9.7</w:t>
            </w:r>
          </w:p>
        </w:tc>
        <w:tc>
          <w:tcPr>
            <w:tcW w:w="14023" w:type="dxa"/>
            <w:gridSpan w:val="3"/>
            <w:shd w:val="clear" w:color="auto" w:fill="auto"/>
            <w:tcMar>
              <w:left w:w="45" w:type="dxa"/>
              <w:right w:w="45" w:type="dxa"/>
            </w:tcMar>
            <w:vAlign w:val="center"/>
          </w:tcPr>
          <w:p>
            <w:pPr>
              <w:widowControl/>
              <w:spacing w:line="300" w:lineRule="exact"/>
              <w:jc w:val="left"/>
              <w:rPr>
                <w:b/>
                <w:color w:val="000000"/>
                <w:kern w:val="0"/>
                <w:szCs w:val="21"/>
              </w:rPr>
            </w:pPr>
            <w:r>
              <w:rPr>
                <w:b/>
                <w:color w:val="000000"/>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9.7.1</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生化废弃物的处置应有专用集中场所</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与</w:t>
            </w:r>
            <w:r>
              <w:rPr>
                <w:color w:val="000000"/>
                <w:kern w:val="0"/>
                <w:szCs w:val="21"/>
              </w:rPr>
              <w:t>有资质的单位签</w:t>
            </w:r>
            <w:r>
              <w:rPr>
                <w:rFonts w:hint="eastAsia"/>
                <w:color w:val="000000"/>
                <w:kern w:val="0"/>
                <w:szCs w:val="21"/>
              </w:rPr>
              <w:t>约</w:t>
            </w:r>
            <w:r>
              <w:rPr>
                <w:color w:val="000000"/>
                <w:kern w:val="0"/>
                <w:szCs w:val="21"/>
              </w:rPr>
              <w:t>处置生化废弃物，有</w:t>
            </w:r>
            <w:r>
              <w:rPr>
                <w:rFonts w:hint="eastAsia"/>
                <w:color w:val="000000"/>
                <w:kern w:val="0"/>
                <w:szCs w:val="21"/>
              </w:rPr>
              <w:t>交接</w:t>
            </w:r>
            <w:r>
              <w:rPr>
                <w:color w:val="000000"/>
                <w:kern w:val="0"/>
                <w:szCs w:val="21"/>
              </w:rPr>
              <w:t>记录</w:t>
            </w:r>
            <w:r>
              <w:rPr>
                <w:rFonts w:hint="eastAsia"/>
                <w:bCs/>
                <w:color w:val="000000"/>
                <w:kern w:val="0"/>
                <w:szCs w:val="21"/>
              </w:rPr>
              <w:t>；</w:t>
            </w:r>
            <w:r>
              <w:rPr>
                <w:color w:val="000000"/>
                <w:kern w:val="0"/>
                <w:szCs w:val="21"/>
              </w:rPr>
              <w:t>学校有生化固废中转站</w:t>
            </w:r>
            <w:r>
              <w:rPr>
                <w:rFonts w:hint="eastAsia"/>
                <w:color w:val="000000"/>
                <w:kern w:val="0"/>
                <w:szCs w:val="21"/>
              </w:rPr>
              <w:t>；</w:t>
            </w:r>
            <w:r>
              <w:rPr>
                <w:color w:val="000000"/>
                <w:kern w:val="0"/>
                <w:szCs w:val="21"/>
              </w:rPr>
              <w:t>动物实验结束后，送本院收集点</w:t>
            </w:r>
            <w:r>
              <w:rPr>
                <w:rFonts w:hint="eastAsia"/>
                <w:color w:val="000000"/>
                <w:kern w:val="0"/>
                <w:szCs w:val="21"/>
              </w:rPr>
              <w:t>经</w:t>
            </w:r>
            <w:r>
              <w:rPr>
                <w:color w:val="000000"/>
                <w:kern w:val="0"/>
                <w:szCs w:val="21"/>
              </w:rPr>
              <w:t>必要的灭菌、灭</w:t>
            </w:r>
            <w:r>
              <w:rPr>
                <w:rFonts w:hint="eastAsia"/>
                <w:color w:val="000000"/>
                <w:kern w:val="0"/>
                <w:szCs w:val="21"/>
              </w:rPr>
              <w:t>活</w:t>
            </w:r>
            <w:r>
              <w:rPr>
                <w:color w:val="000000"/>
                <w:kern w:val="0"/>
                <w:szCs w:val="21"/>
              </w:rPr>
              <w:t>处理</w:t>
            </w:r>
            <w:r>
              <w:rPr>
                <w:rFonts w:hint="eastAsia"/>
                <w:color w:val="000000"/>
                <w:kern w:val="0"/>
                <w:szCs w:val="21"/>
              </w:rPr>
              <w:t>；</w:t>
            </w:r>
            <w:r>
              <w:rPr>
                <w:color w:val="000000"/>
                <w:kern w:val="0"/>
                <w:szCs w:val="21"/>
              </w:rPr>
              <w:t>配备生化</w:t>
            </w:r>
            <w:r>
              <w:rPr>
                <w:rFonts w:hint="eastAsia"/>
                <w:color w:val="000000"/>
                <w:kern w:val="0"/>
                <w:szCs w:val="21"/>
              </w:rPr>
              <w:t>实验</w:t>
            </w:r>
            <w:r>
              <w:rPr>
                <w:color w:val="000000"/>
                <w:kern w:val="0"/>
                <w:szCs w:val="21"/>
              </w:rPr>
              <w:t>废弃物</w:t>
            </w:r>
            <w:r>
              <w:rPr>
                <w:rFonts w:hint="eastAsia"/>
                <w:color w:val="000000"/>
                <w:kern w:val="0"/>
                <w:szCs w:val="21"/>
              </w:rPr>
              <w:t>垃圾桶</w:t>
            </w:r>
            <w:r>
              <w:rPr>
                <w:color w:val="000000"/>
                <w:kern w:val="0"/>
                <w:szCs w:val="21"/>
              </w:rPr>
              <w:t>（一般内置黄色塑料袋）</w:t>
            </w:r>
            <w:r>
              <w:rPr>
                <w:rFonts w:hint="eastAsia"/>
                <w:color w:val="000000"/>
                <w:kern w:val="0"/>
                <w:szCs w:val="21"/>
              </w:rPr>
              <w:t>，</w:t>
            </w:r>
            <w:r>
              <w:rPr>
                <w:color w:val="000000"/>
                <w:kern w:val="0"/>
                <w:szCs w:val="21"/>
              </w:rPr>
              <w:t>有标签</w:t>
            </w:r>
            <w:r>
              <w:rPr>
                <w:rFonts w:hint="eastAsia"/>
                <w:color w:val="000000"/>
                <w:kern w:val="0"/>
                <w:szCs w:val="21"/>
              </w:rPr>
              <w:t>；</w:t>
            </w:r>
            <w:r>
              <w:rPr>
                <w:color w:val="000000"/>
                <w:kern w:val="0"/>
                <w:szCs w:val="21"/>
              </w:rPr>
              <w:t>有统一的</w:t>
            </w:r>
            <w:r>
              <w:rPr>
                <w:rFonts w:hint="eastAsia"/>
                <w:color w:val="000000"/>
                <w:kern w:val="0"/>
                <w:szCs w:val="21"/>
              </w:rPr>
              <w:t>生化</w:t>
            </w:r>
            <w:r>
              <w:rPr>
                <w:color w:val="000000"/>
                <w:kern w:val="0"/>
                <w:szCs w:val="21"/>
              </w:rPr>
              <w:t>实验</w:t>
            </w:r>
            <w:r>
              <w:rPr>
                <w:rFonts w:hint="eastAsia"/>
                <w:color w:val="000000"/>
                <w:kern w:val="0"/>
                <w:szCs w:val="21"/>
              </w:rPr>
              <w:t>废弃物</w:t>
            </w:r>
            <w:r>
              <w:rPr>
                <w:color w:val="000000"/>
                <w:kern w:val="0"/>
                <w:szCs w:val="21"/>
              </w:rPr>
              <w:t>标签</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9.7.2</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生化废弃物的处置应满足特殊要求</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color w:val="000000"/>
                <w:kern w:val="0"/>
                <w:szCs w:val="21"/>
              </w:rPr>
              <w:t>生物实验</w:t>
            </w:r>
            <w:r>
              <w:rPr>
                <w:rFonts w:hint="eastAsia"/>
                <w:color w:val="000000"/>
                <w:kern w:val="0"/>
                <w:szCs w:val="21"/>
              </w:rPr>
              <w:t>产生</w:t>
            </w:r>
            <w:r>
              <w:rPr>
                <w:color w:val="000000"/>
                <w:kern w:val="0"/>
                <w:szCs w:val="21"/>
              </w:rPr>
              <w:t>的</w:t>
            </w:r>
            <w:r>
              <w:rPr>
                <w:rFonts w:hint="eastAsia"/>
                <w:color w:val="000000"/>
                <w:kern w:val="0"/>
                <w:szCs w:val="21"/>
              </w:rPr>
              <w:t>EB胶</w:t>
            </w:r>
            <w:r>
              <w:rPr>
                <w:color w:val="000000"/>
                <w:szCs w:val="21"/>
              </w:rPr>
              <w:t>毒性</w:t>
            </w:r>
            <w:r>
              <w:rPr>
                <w:rFonts w:hint="eastAsia"/>
                <w:color w:val="000000"/>
                <w:szCs w:val="21"/>
              </w:rPr>
              <w:t>强</w:t>
            </w:r>
            <w:r>
              <w:rPr>
                <w:color w:val="000000"/>
                <w:szCs w:val="21"/>
              </w:rPr>
              <w:t>，</w:t>
            </w:r>
            <w:r>
              <w:rPr>
                <w:rFonts w:hint="eastAsia"/>
                <w:color w:val="000000"/>
                <w:szCs w:val="21"/>
              </w:rPr>
              <w:t>需</w:t>
            </w:r>
            <w:r>
              <w:rPr>
                <w:color w:val="000000"/>
                <w:szCs w:val="21"/>
              </w:rPr>
              <w:t>集中存放、</w:t>
            </w:r>
            <w:r>
              <w:rPr>
                <w:color w:val="000000"/>
                <w:kern w:val="0"/>
                <w:szCs w:val="21"/>
              </w:rPr>
              <w:t>贴好</w:t>
            </w:r>
            <w:r>
              <w:rPr>
                <w:rFonts w:hint="eastAsia"/>
                <w:color w:val="000000"/>
                <w:kern w:val="0"/>
                <w:szCs w:val="21"/>
              </w:rPr>
              <w:t>化学</w:t>
            </w:r>
            <w:r>
              <w:rPr>
                <w:color w:val="000000"/>
                <w:kern w:val="0"/>
                <w:szCs w:val="21"/>
              </w:rPr>
              <w:t>废弃物标签</w:t>
            </w:r>
            <w:r>
              <w:rPr>
                <w:rFonts w:hint="eastAsia"/>
                <w:color w:val="000000"/>
                <w:kern w:val="0"/>
                <w:szCs w:val="21"/>
              </w:rPr>
              <w:t>，</w:t>
            </w:r>
            <w:r>
              <w:rPr>
                <w:color w:val="000000"/>
                <w:kern w:val="0"/>
                <w:szCs w:val="21"/>
              </w:rPr>
              <w:t>及时送本院收集点</w:t>
            </w:r>
            <w:r>
              <w:rPr>
                <w:rFonts w:hint="eastAsia"/>
                <w:color w:val="000000"/>
                <w:kern w:val="0"/>
                <w:szCs w:val="21"/>
              </w:rPr>
              <w:t>；</w:t>
            </w:r>
            <w:r>
              <w:rPr>
                <w:color w:val="000000"/>
                <w:kern w:val="0"/>
                <w:szCs w:val="21"/>
              </w:rPr>
              <w:t>刀片、移液枪头等尖锐物应使用耐扎的利器盒</w:t>
            </w:r>
            <w:r>
              <w:rPr>
                <w:rFonts w:hint="eastAsia"/>
                <w:color w:val="000000"/>
                <w:kern w:val="0"/>
                <w:szCs w:val="21"/>
              </w:rPr>
              <w:t>/纸板箱</w:t>
            </w:r>
            <w:r>
              <w:rPr>
                <w:color w:val="000000"/>
                <w:kern w:val="0"/>
                <w:szCs w:val="21"/>
              </w:rPr>
              <w:t>盛放</w:t>
            </w:r>
            <w:r>
              <w:rPr>
                <w:rFonts w:hint="eastAsia"/>
                <w:color w:val="000000"/>
                <w:kern w:val="0"/>
                <w:szCs w:val="21"/>
              </w:rPr>
              <w:t>，</w:t>
            </w:r>
            <w:r>
              <w:rPr>
                <w:color w:val="000000"/>
                <w:kern w:val="0"/>
                <w:szCs w:val="21"/>
              </w:rPr>
              <w:t>送储</w:t>
            </w:r>
            <w:r>
              <w:rPr>
                <w:rFonts w:hint="eastAsia"/>
                <w:color w:val="000000"/>
                <w:kern w:val="0"/>
                <w:szCs w:val="21"/>
              </w:rPr>
              <w:t>时再装入黄色</w:t>
            </w:r>
            <w:r>
              <w:rPr>
                <w:color w:val="000000"/>
                <w:kern w:val="0"/>
                <w:szCs w:val="21"/>
              </w:rPr>
              <w:t>塑料袋</w:t>
            </w:r>
            <w:r>
              <w:rPr>
                <w:rFonts w:hint="eastAsia"/>
                <w:color w:val="000000"/>
                <w:kern w:val="0"/>
                <w:szCs w:val="21"/>
              </w:rPr>
              <w:t>，</w:t>
            </w:r>
            <w:r>
              <w:rPr>
                <w:color w:val="000000"/>
                <w:kern w:val="0"/>
                <w:szCs w:val="21"/>
              </w:rPr>
              <w:t>贴好标签</w:t>
            </w:r>
            <w:r>
              <w:rPr>
                <w:rFonts w:hint="eastAsia"/>
                <w:color w:val="000000"/>
                <w:kern w:val="0"/>
                <w:szCs w:val="21"/>
              </w:rPr>
              <w:t>；</w:t>
            </w:r>
            <w:r>
              <w:rPr>
                <w:color w:val="000000"/>
                <w:kern w:val="0"/>
                <w:szCs w:val="21"/>
              </w:rPr>
              <w:t>涉及病原微生物的实验废弃物必须进行</w:t>
            </w:r>
            <w:r>
              <w:rPr>
                <w:rFonts w:hint="eastAsia"/>
                <w:color w:val="000000"/>
                <w:kern w:val="0"/>
                <w:szCs w:val="21"/>
              </w:rPr>
              <w:t>高温</w:t>
            </w:r>
            <w:r>
              <w:rPr>
                <w:color w:val="000000"/>
                <w:kern w:val="0"/>
                <w:szCs w:val="21"/>
              </w:rPr>
              <w:t>高压灭菌或化学浸泡处理</w:t>
            </w:r>
            <w:r>
              <w:rPr>
                <w:rFonts w:hint="eastAsia"/>
                <w:color w:val="000000"/>
                <w:kern w:val="0"/>
                <w:szCs w:val="21"/>
              </w:rPr>
              <w:t>；</w:t>
            </w:r>
            <w:r>
              <w:rPr>
                <w:color w:val="000000"/>
                <w:kern w:val="0"/>
                <w:szCs w:val="21"/>
              </w:rPr>
              <w:t>高致病性生物材料废弃物处置实现溯源追踪</w:t>
            </w:r>
            <w:r>
              <w:rPr>
                <w:rFonts w:hint="eastAsia"/>
                <w:color w:val="000000"/>
                <w:kern w:val="0"/>
                <w:szCs w:val="21"/>
              </w:rPr>
              <w:t>；生化实验</w:t>
            </w:r>
            <w:r>
              <w:rPr>
                <w:color w:val="000000"/>
                <w:kern w:val="0"/>
                <w:szCs w:val="21"/>
              </w:rPr>
              <w:t>废弃物</w:t>
            </w:r>
            <w:r>
              <w:rPr>
                <w:rFonts w:hint="eastAsia"/>
                <w:color w:val="000000"/>
                <w:kern w:val="0"/>
                <w:szCs w:val="21"/>
              </w:rPr>
              <w:t>不得混入</w:t>
            </w:r>
            <w:r>
              <w:rPr>
                <w:color w:val="000000"/>
                <w:kern w:val="0"/>
                <w:szCs w:val="21"/>
              </w:rPr>
              <w:t>生活垃圾桶，生活垃圾</w:t>
            </w:r>
            <w:r>
              <w:rPr>
                <w:rFonts w:hint="eastAsia"/>
                <w:color w:val="000000"/>
                <w:kern w:val="0"/>
                <w:szCs w:val="21"/>
              </w:rPr>
              <w:t>不得</w:t>
            </w:r>
            <w:r>
              <w:rPr>
                <w:color w:val="000000"/>
                <w:kern w:val="0"/>
                <w:szCs w:val="21"/>
              </w:rPr>
              <w:t>混入生化</w:t>
            </w:r>
            <w:r>
              <w:rPr>
                <w:rFonts w:hint="eastAsia"/>
                <w:color w:val="000000"/>
                <w:kern w:val="0"/>
                <w:szCs w:val="21"/>
              </w:rPr>
              <w:t>实验</w:t>
            </w:r>
            <w:r>
              <w:rPr>
                <w:color w:val="000000"/>
                <w:kern w:val="0"/>
                <w:szCs w:val="21"/>
              </w:rPr>
              <w:t>垃圾桶</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10</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b/>
                <w:kern w:val="0"/>
                <w:szCs w:val="21"/>
              </w:rPr>
              <w:t>辐射安全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10.1</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b/>
                <w:kern w:val="0"/>
                <w:szCs w:val="21"/>
              </w:rPr>
              <w:t>实验室资质与人员要求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10.1.1</w:t>
            </w:r>
          </w:p>
        </w:tc>
        <w:tc>
          <w:tcPr>
            <w:tcW w:w="3820" w:type="dxa"/>
            <w:shd w:val="clear" w:color="auto" w:fill="auto"/>
            <w:tcMar>
              <w:left w:w="45" w:type="dxa"/>
              <w:right w:w="45" w:type="dxa"/>
            </w:tcMar>
            <w:vAlign w:val="center"/>
          </w:tcPr>
          <w:p>
            <w:pPr>
              <w:widowControl/>
              <w:spacing w:line="300" w:lineRule="exact"/>
              <w:rPr>
                <w:b/>
                <w:kern w:val="0"/>
                <w:szCs w:val="21"/>
              </w:rPr>
            </w:pPr>
            <w:r>
              <w:rPr>
                <w:rFonts w:hint="eastAsia"/>
                <w:szCs w:val="21"/>
              </w:rPr>
              <w:t>涉源</w:t>
            </w:r>
            <w:r>
              <w:rPr>
                <w:bCs/>
                <w:kern w:val="0"/>
                <w:szCs w:val="21"/>
              </w:rPr>
              <w:t>单位</w:t>
            </w:r>
            <w:r>
              <w:rPr>
                <w:rFonts w:hint="eastAsia"/>
                <w:bCs/>
                <w:kern w:val="0"/>
                <w:szCs w:val="21"/>
              </w:rPr>
              <w:t>须</w:t>
            </w:r>
            <w:r>
              <w:rPr>
                <w:kern w:val="0"/>
                <w:szCs w:val="21"/>
              </w:rPr>
              <w:t>取得“辐射安全许可证”</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kern w:val="0"/>
                <w:szCs w:val="21"/>
              </w:rPr>
              <w:t>并按规定在放射性核素种类和用量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rFonts w:hint="eastAsia"/>
                <w:bCs/>
                <w:kern w:val="0"/>
                <w:szCs w:val="21"/>
              </w:rPr>
              <w:t>X射线类</w:t>
            </w:r>
            <w:r>
              <w:rPr>
                <w:bCs/>
                <w:kern w:val="0"/>
                <w:szCs w:val="21"/>
              </w:rPr>
              <w:t>衍射仪</w:t>
            </w:r>
            <w:r>
              <w:rPr>
                <w:rFonts w:hint="eastAsia"/>
                <w:bCs/>
                <w:kern w:val="0"/>
                <w:szCs w:val="21"/>
              </w:rPr>
              <w:t>等3类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10.1.</w:t>
            </w:r>
            <w:r>
              <w:rPr>
                <w:rFonts w:hint="eastAsia"/>
                <w:kern w:val="0"/>
                <w:szCs w:val="21"/>
              </w:rPr>
              <w:t>2</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渉源人员具</w:t>
            </w:r>
            <w:r>
              <w:rPr>
                <w:kern w:val="0"/>
                <w:szCs w:val="21"/>
              </w:rPr>
              <w:t>有《辐射安全与防护培训合格证书》</w:t>
            </w:r>
            <w:r>
              <w:rPr>
                <w:rFonts w:hint="eastAsia"/>
                <w:kern w:val="0"/>
                <w:szCs w:val="21"/>
              </w:rPr>
              <w:t>（4年</w:t>
            </w:r>
            <w:r>
              <w:rPr>
                <w:kern w:val="0"/>
                <w:szCs w:val="21"/>
              </w:rPr>
              <w:t>复训</w:t>
            </w:r>
            <w:r>
              <w:rPr>
                <w:rFonts w:hint="eastAsia"/>
                <w:kern w:val="0"/>
                <w:szCs w:val="21"/>
              </w:rPr>
              <w:t>1次），</w:t>
            </w: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（2年</w:t>
            </w:r>
            <w:r>
              <w:rPr>
                <w:kern w:val="0"/>
                <w:szCs w:val="21"/>
              </w:rPr>
              <w:t>1次</w:t>
            </w:r>
            <w:r>
              <w:rPr>
                <w:rFonts w:hint="eastAsia"/>
                <w:kern w:val="0"/>
                <w:szCs w:val="21"/>
              </w:rPr>
              <w:t>），有健康档案；</w:t>
            </w: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有资质单位按时进行剂量检测（3个月一次）</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color w:val="000000"/>
                <w:kern w:val="0"/>
                <w:szCs w:val="21"/>
              </w:rPr>
            </w:pPr>
            <w:r>
              <w:rPr>
                <w:b/>
                <w:color w:val="000000"/>
                <w:kern w:val="0"/>
                <w:szCs w:val="21"/>
              </w:rPr>
              <w:t>10.2</w:t>
            </w:r>
          </w:p>
        </w:tc>
        <w:tc>
          <w:tcPr>
            <w:tcW w:w="14023" w:type="dxa"/>
            <w:gridSpan w:val="3"/>
            <w:shd w:val="clear" w:color="auto" w:fill="auto"/>
            <w:tcMar>
              <w:left w:w="45" w:type="dxa"/>
              <w:right w:w="45" w:type="dxa"/>
            </w:tcMar>
            <w:vAlign w:val="center"/>
          </w:tcPr>
          <w:p>
            <w:pPr>
              <w:widowControl/>
              <w:spacing w:line="300" w:lineRule="exact"/>
              <w:jc w:val="left"/>
              <w:rPr>
                <w:b/>
                <w:color w:val="000000"/>
                <w:kern w:val="0"/>
                <w:szCs w:val="21"/>
              </w:rPr>
            </w:pPr>
            <w:r>
              <w:rPr>
                <w:b/>
                <w:color w:val="000000"/>
                <w:kern w:val="0"/>
                <w:szCs w:val="21"/>
              </w:rPr>
              <w:t>场所设施</w:t>
            </w:r>
            <w:r>
              <w:rPr>
                <w:rFonts w:hint="eastAsia"/>
                <w:b/>
                <w:color w:val="000000"/>
                <w:kern w:val="0"/>
                <w:szCs w:val="21"/>
              </w:rPr>
              <w:t>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10.2.1</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辐射设施和场所应设有警示、连锁和报警装置</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color w:val="000000"/>
                <w:kern w:val="0"/>
                <w:szCs w:val="21"/>
              </w:rPr>
              <w:t>放射源储存库</w:t>
            </w:r>
            <w:r>
              <w:rPr>
                <w:rFonts w:hint="eastAsia"/>
                <w:color w:val="000000"/>
                <w:kern w:val="0"/>
                <w:szCs w:val="21"/>
              </w:rPr>
              <w:t>应设</w:t>
            </w:r>
            <w:r>
              <w:rPr>
                <w:color w:val="000000"/>
                <w:kern w:val="0"/>
                <w:szCs w:val="21"/>
              </w:rPr>
              <w:t>双门双控，并有安全报警系统（与公安部门联网）和视频监控系统</w:t>
            </w:r>
            <w:r>
              <w:rPr>
                <w:rFonts w:hint="eastAsia"/>
                <w:color w:val="000000"/>
                <w:kern w:val="0"/>
                <w:szCs w:val="21"/>
              </w:rPr>
              <w:t>、</w:t>
            </w:r>
            <w:r>
              <w:rPr>
                <w:color w:val="000000"/>
                <w:kern w:val="0"/>
                <w:szCs w:val="21"/>
              </w:rPr>
              <w:t>辐照设施设备</w:t>
            </w:r>
            <w:r>
              <w:rPr>
                <w:rFonts w:hint="eastAsia"/>
                <w:color w:val="000000"/>
                <w:kern w:val="0"/>
                <w:szCs w:val="21"/>
              </w:rPr>
              <w:t>和2类</w:t>
            </w:r>
            <w:r>
              <w:rPr>
                <w:color w:val="000000"/>
                <w:kern w:val="0"/>
                <w:szCs w:val="21"/>
              </w:rPr>
              <w:t>以上射线装置具有能正常工作的安全连锁装置</w:t>
            </w:r>
            <w:r>
              <w:rPr>
                <w:rFonts w:hint="eastAsia"/>
                <w:color w:val="000000"/>
                <w:kern w:val="0"/>
                <w:szCs w:val="21"/>
              </w:rPr>
              <w:t>和</w:t>
            </w:r>
            <w:r>
              <w:rPr>
                <w:color w:val="000000"/>
                <w:kern w:val="0"/>
                <w:szCs w:val="21"/>
              </w:rPr>
              <w:t>报警装置</w:t>
            </w:r>
            <w:r>
              <w:rPr>
                <w:rFonts w:hint="eastAsia"/>
                <w:color w:val="000000"/>
                <w:kern w:val="0"/>
                <w:szCs w:val="21"/>
              </w:rPr>
              <w:t>、</w:t>
            </w:r>
            <w:r>
              <w:rPr>
                <w:color w:val="000000"/>
                <w:kern w:val="0"/>
                <w:szCs w:val="21"/>
              </w:rPr>
              <w:t>有</w:t>
            </w:r>
            <w:r>
              <w:rPr>
                <w:rFonts w:hint="eastAsia"/>
                <w:color w:val="000000"/>
                <w:kern w:val="0"/>
                <w:szCs w:val="21"/>
              </w:rPr>
              <w:t>明显的</w:t>
            </w:r>
            <w:r>
              <w:rPr>
                <w:color w:val="000000"/>
                <w:kern w:val="0"/>
                <w:szCs w:val="21"/>
              </w:rPr>
              <w:t>安全警示标识、警戒线和剂量报警仪</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10.2.</w:t>
            </w:r>
            <w:r>
              <w:rPr>
                <w:rFonts w:hint="eastAsia"/>
                <w:color w:val="000000"/>
                <w:kern w:val="0"/>
                <w:szCs w:val="21"/>
              </w:rPr>
              <w:t>2</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szCs w:val="21"/>
              </w:rPr>
              <w:t>涉源实验</w:t>
            </w:r>
            <w:r>
              <w:rPr>
                <w:color w:val="000000"/>
                <w:szCs w:val="21"/>
              </w:rPr>
              <w:t>场所每年有合格的实验场所检测报告</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rFonts w:hint="eastAsia"/>
                <w:bCs/>
                <w:color w:val="000000"/>
                <w:kern w:val="0"/>
                <w:szCs w:val="21"/>
              </w:rPr>
              <w:t>查看</w:t>
            </w:r>
            <w:r>
              <w:rPr>
                <w:bCs/>
                <w:color w:val="000000"/>
                <w:kern w:val="0"/>
                <w:szCs w:val="21"/>
              </w:rPr>
              <w:t>现场、</w:t>
            </w:r>
            <w:r>
              <w:rPr>
                <w:rFonts w:hint="eastAsia"/>
                <w:bCs/>
                <w:color w:val="000000"/>
                <w:kern w:val="0"/>
                <w:szCs w:val="21"/>
              </w:rPr>
              <w:t>检定</w:t>
            </w:r>
            <w:r>
              <w:rPr>
                <w:bCs/>
                <w:color w:val="000000"/>
                <w:kern w:val="0"/>
                <w:szCs w:val="21"/>
              </w:rPr>
              <w:t>证书、检测报告</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10.2.</w:t>
            </w:r>
            <w:r>
              <w:rPr>
                <w:rFonts w:hint="eastAsia"/>
                <w:color w:val="000000"/>
                <w:kern w:val="0"/>
                <w:szCs w:val="21"/>
              </w:rPr>
              <w:t>3</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学校设</w:t>
            </w:r>
            <w:r>
              <w:rPr>
                <w:color w:val="000000"/>
                <w:kern w:val="0"/>
                <w:szCs w:val="21"/>
              </w:rPr>
              <w:t>有专门存放放射性废弃物的容器和暂存库</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color w:val="000000"/>
                <w:kern w:val="0"/>
                <w:szCs w:val="21"/>
              </w:rPr>
              <w:t>非密封性放射性实验室有衰减池，</w:t>
            </w:r>
            <w:r>
              <w:rPr>
                <w:color w:val="000000"/>
                <w:szCs w:val="21"/>
              </w:rPr>
              <w:t>或者有非密封性专门回收处置场所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10.2.4</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放射性物质的</w:t>
            </w:r>
            <w:r>
              <w:rPr>
                <w:rFonts w:hint="eastAsia"/>
                <w:color w:val="000000"/>
                <w:kern w:val="0"/>
                <w:szCs w:val="21"/>
              </w:rPr>
              <w:t>采购、</w:t>
            </w:r>
            <w:r>
              <w:rPr>
                <w:color w:val="000000"/>
                <w:kern w:val="0"/>
                <w:szCs w:val="21"/>
              </w:rPr>
              <w:t>转移和运输</w:t>
            </w:r>
            <w:r>
              <w:rPr>
                <w:rFonts w:hint="eastAsia"/>
                <w:color w:val="000000"/>
                <w:kern w:val="0"/>
                <w:szCs w:val="21"/>
              </w:rPr>
              <w:t>应按规定报批</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color w:val="000000"/>
                <w:kern w:val="0"/>
                <w:szCs w:val="21"/>
              </w:rPr>
              <w:t>放射源和放射性物质的采购和转让转移有学校及政府环保部门的审批备案材料</w:t>
            </w:r>
            <w:r>
              <w:rPr>
                <w:rFonts w:hint="eastAsia"/>
                <w:color w:val="000000"/>
                <w:kern w:val="0"/>
                <w:szCs w:val="21"/>
              </w:rPr>
              <w:t>，</w:t>
            </w:r>
            <w:r>
              <w:rPr>
                <w:color w:val="000000"/>
                <w:kern w:val="0"/>
                <w:szCs w:val="21"/>
              </w:rPr>
              <w:t>上述</w:t>
            </w:r>
            <w:r>
              <w:rPr>
                <w:rFonts w:hint="eastAsia"/>
                <w:color w:val="000000"/>
                <w:kern w:val="0"/>
                <w:szCs w:val="21"/>
              </w:rPr>
              <w:t>采购和转让转移前</w:t>
            </w:r>
            <w:r>
              <w:rPr>
                <w:color w:val="000000"/>
                <w:kern w:val="0"/>
                <w:szCs w:val="21"/>
              </w:rPr>
              <w:t>必须</w:t>
            </w:r>
            <w:r>
              <w:rPr>
                <w:rFonts w:hint="eastAsia"/>
                <w:color w:val="000000"/>
                <w:kern w:val="0"/>
                <w:szCs w:val="21"/>
              </w:rPr>
              <w:t>先</w:t>
            </w:r>
            <w:r>
              <w:rPr>
                <w:color w:val="000000"/>
                <w:kern w:val="0"/>
                <w:szCs w:val="21"/>
              </w:rPr>
              <w:t>做环境影响评价工作</w:t>
            </w:r>
            <w:r>
              <w:rPr>
                <w:rFonts w:hint="eastAsia"/>
                <w:color w:val="000000"/>
                <w:kern w:val="0"/>
                <w:szCs w:val="21"/>
              </w:rPr>
              <w:t>；</w:t>
            </w:r>
            <w:r>
              <w:rPr>
                <w:color w:val="000000"/>
                <w:kern w:val="0"/>
                <w:szCs w:val="21"/>
              </w:rPr>
              <w:t>放射性物质的转移和运输有学校及公安部门的审批备案材料</w:t>
            </w:r>
            <w:r>
              <w:rPr>
                <w:rFonts w:hint="eastAsia"/>
                <w:color w:val="000000"/>
                <w:kern w:val="0"/>
                <w:szCs w:val="21"/>
              </w:rPr>
              <w:t>；</w:t>
            </w:r>
            <w:r>
              <w:rPr>
                <w:color w:val="000000"/>
                <w:kern w:val="0"/>
                <w:szCs w:val="21"/>
              </w:rPr>
              <w:t>放射源</w:t>
            </w:r>
            <w:r>
              <w:rPr>
                <w:rFonts w:hint="eastAsia"/>
                <w:color w:val="000000"/>
                <w:kern w:val="0"/>
                <w:szCs w:val="21"/>
              </w:rPr>
              <w:t>、</w:t>
            </w:r>
            <w:r>
              <w:rPr>
                <w:color w:val="000000"/>
                <w:kern w:val="0"/>
                <w:szCs w:val="21"/>
              </w:rPr>
              <w:t>放射性物质</w:t>
            </w:r>
            <w:r>
              <w:rPr>
                <w:rFonts w:hint="eastAsia"/>
                <w:color w:val="000000"/>
                <w:kern w:val="0"/>
                <w:szCs w:val="21"/>
              </w:rPr>
              <w:t>以及3类</w:t>
            </w:r>
            <w:r>
              <w:rPr>
                <w:color w:val="000000"/>
                <w:kern w:val="0"/>
                <w:szCs w:val="21"/>
              </w:rPr>
              <w:t>以上射线装置变更及时登记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color w:val="000000"/>
                <w:kern w:val="0"/>
                <w:szCs w:val="21"/>
              </w:rPr>
            </w:pPr>
            <w:r>
              <w:rPr>
                <w:b/>
                <w:color w:val="000000"/>
                <w:kern w:val="0"/>
                <w:szCs w:val="21"/>
              </w:rPr>
              <w:t>10.</w:t>
            </w:r>
            <w:r>
              <w:rPr>
                <w:rFonts w:hint="eastAsia"/>
                <w:b/>
                <w:color w:val="000000"/>
                <w:kern w:val="0"/>
                <w:szCs w:val="21"/>
              </w:rPr>
              <w:t>3</w:t>
            </w:r>
          </w:p>
        </w:tc>
        <w:tc>
          <w:tcPr>
            <w:tcW w:w="14023" w:type="dxa"/>
            <w:gridSpan w:val="3"/>
            <w:shd w:val="clear" w:color="auto" w:fill="auto"/>
            <w:tcMar>
              <w:left w:w="45" w:type="dxa"/>
              <w:right w:w="45" w:type="dxa"/>
            </w:tcMar>
            <w:vAlign w:val="center"/>
          </w:tcPr>
          <w:p>
            <w:pPr>
              <w:widowControl/>
              <w:spacing w:line="300" w:lineRule="exact"/>
              <w:jc w:val="left"/>
              <w:rPr>
                <w:b/>
                <w:color w:val="000000"/>
                <w:kern w:val="0"/>
                <w:szCs w:val="21"/>
              </w:rPr>
            </w:pPr>
            <w:r>
              <w:rPr>
                <w:b/>
                <w:color w:val="000000"/>
                <w:kern w:val="0"/>
                <w:szCs w:val="21"/>
              </w:rPr>
              <w:t>放射性实验安全</w:t>
            </w:r>
            <w:r>
              <w:rPr>
                <w:rFonts w:hint="eastAsia"/>
                <w:b/>
                <w:color w:val="000000"/>
                <w:kern w:val="0"/>
                <w:szCs w:val="21"/>
              </w:rPr>
              <w:t>及废弃物处置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10.3.1</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各类放射性</w:t>
            </w:r>
            <w:r>
              <w:rPr>
                <w:color w:val="000000"/>
                <w:kern w:val="0"/>
                <w:szCs w:val="21"/>
              </w:rPr>
              <w:t>装置有符合国家相关规定的操作规程、安保方案及应急预案，并遵照执行</w:t>
            </w:r>
          </w:p>
        </w:tc>
        <w:tc>
          <w:tcPr>
            <w:tcW w:w="7374" w:type="dxa"/>
            <w:shd w:val="clear" w:color="auto" w:fill="auto"/>
            <w:tcMar>
              <w:left w:w="45" w:type="dxa"/>
              <w:right w:w="45" w:type="dxa"/>
            </w:tcMar>
            <w:vAlign w:val="center"/>
          </w:tcPr>
          <w:p>
            <w:pPr>
              <w:widowControl/>
              <w:spacing w:line="300" w:lineRule="exact"/>
              <w:jc w:val="left"/>
              <w:rPr>
                <w:bCs/>
                <w:color w:val="000000"/>
                <w:kern w:val="0"/>
                <w:szCs w:val="21"/>
              </w:rPr>
            </w:pPr>
            <w:r>
              <w:rPr>
                <w:rFonts w:hint="eastAsia"/>
                <w:color w:val="000000"/>
                <w:kern w:val="0"/>
                <w:szCs w:val="21"/>
              </w:rPr>
              <w:t>重点关注</w:t>
            </w:r>
            <w:r>
              <w:rPr>
                <w:color w:val="000000"/>
                <w:kern w:val="0"/>
                <w:szCs w:val="21"/>
              </w:rPr>
              <w:t>Г辐照</w:t>
            </w:r>
            <w:r>
              <w:rPr>
                <w:rFonts w:hint="eastAsia"/>
                <w:color w:val="000000"/>
                <w:kern w:val="0"/>
                <w:szCs w:val="21"/>
              </w:rPr>
              <w:t>、</w:t>
            </w:r>
            <w:r>
              <w:rPr>
                <w:color w:val="000000"/>
                <w:kern w:val="0"/>
                <w:szCs w:val="21"/>
              </w:rPr>
              <w:t>电子加速器</w:t>
            </w:r>
            <w:r>
              <w:rPr>
                <w:rFonts w:hint="eastAsia"/>
                <w:color w:val="000000"/>
                <w:kern w:val="0"/>
                <w:szCs w:val="21"/>
              </w:rPr>
              <w:t>、</w:t>
            </w:r>
            <w:r>
              <w:rPr>
                <w:color w:val="000000"/>
                <w:kern w:val="0"/>
                <w:szCs w:val="21"/>
              </w:rPr>
              <w:t>射线探伤仪</w:t>
            </w:r>
            <w:r>
              <w:rPr>
                <w:rFonts w:hint="eastAsia"/>
                <w:color w:val="000000"/>
                <w:kern w:val="0"/>
                <w:szCs w:val="21"/>
              </w:rPr>
              <w:t>、</w:t>
            </w:r>
            <w:r>
              <w:rPr>
                <w:color w:val="000000"/>
                <w:kern w:val="0"/>
                <w:szCs w:val="21"/>
              </w:rPr>
              <w:t>非密封性放射性实验操作</w:t>
            </w:r>
            <w:r>
              <w:rPr>
                <w:rFonts w:hint="eastAsia"/>
                <w:color w:val="000000"/>
                <w:kern w:val="0"/>
                <w:szCs w:val="21"/>
              </w:rPr>
              <w:t>、5类</w:t>
            </w:r>
            <w:r>
              <w:rPr>
                <w:color w:val="000000"/>
                <w:kern w:val="0"/>
                <w:szCs w:val="21"/>
              </w:rPr>
              <w:t>以上的密封性放射性实验操作</w:t>
            </w:r>
            <w:r>
              <w:rPr>
                <w:rFonts w:hint="eastAsia"/>
                <w:color w:val="000000"/>
                <w:kern w:val="0"/>
                <w:szCs w:val="21"/>
              </w:rPr>
              <w:t xml:space="preserve"> </w:t>
            </w:r>
            <w:r>
              <w:rPr>
                <w:color w:val="000000"/>
                <w:kern w:val="0"/>
                <w:szCs w:val="21"/>
              </w:rPr>
              <w:t xml:space="preserve">    </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10.3.2</w:t>
            </w:r>
          </w:p>
        </w:tc>
        <w:tc>
          <w:tcPr>
            <w:tcW w:w="3820" w:type="dxa"/>
            <w:shd w:val="clear" w:color="auto" w:fill="auto"/>
            <w:tcMar>
              <w:left w:w="45" w:type="dxa"/>
              <w:right w:w="45" w:type="dxa"/>
            </w:tcMar>
            <w:vAlign w:val="center"/>
          </w:tcPr>
          <w:p>
            <w:pPr>
              <w:widowControl/>
              <w:spacing w:line="300" w:lineRule="exact"/>
              <w:jc w:val="left"/>
              <w:rPr>
                <w:color w:val="000000"/>
                <w:kern w:val="0"/>
                <w:szCs w:val="21"/>
              </w:rPr>
            </w:pPr>
            <w:r>
              <w:rPr>
                <w:rFonts w:hint="eastAsia"/>
                <w:color w:val="000000"/>
                <w:kern w:val="0"/>
                <w:szCs w:val="21"/>
              </w:rPr>
              <w:t>放射源及设备报废时</w:t>
            </w:r>
            <w:r>
              <w:rPr>
                <w:color w:val="000000"/>
                <w:kern w:val="0"/>
                <w:szCs w:val="21"/>
              </w:rPr>
              <w:t>有符合国家相关规定的处置方案或回收协议</w:t>
            </w:r>
          </w:p>
        </w:tc>
        <w:tc>
          <w:tcPr>
            <w:tcW w:w="7374" w:type="dxa"/>
            <w:shd w:val="clear" w:color="auto" w:fill="auto"/>
            <w:tcMar>
              <w:left w:w="45" w:type="dxa"/>
              <w:right w:w="45" w:type="dxa"/>
            </w:tcMar>
            <w:vAlign w:val="center"/>
          </w:tcPr>
          <w:p>
            <w:pPr>
              <w:widowControl/>
              <w:spacing w:line="300" w:lineRule="exact"/>
              <w:jc w:val="left"/>
              <w:rPr>
                <w:color w:val="000000"/>
                <w:kern w:val="0"/>
                <w:szCs w:val="21"/>
              </w:rPr>
            </w:pPr>
            <w:r>
              <w:rPr>
                <w:color w:val="000000"/>
                <w:kern w:val="0"/>
                <w:szCs w:val="21"/>
              </w:rPr>
              <w:t>中、长半衰期核素固液废弃物有符合国家相关规定的处置方案或回收协议，短半衰期核素固液废弃物放置10个半衰期经检测达标后作为普通废物处理</w:t>
            </w:r>
            <w:r>
              <w:rPr>
                <w:rFonts w:hint="eastAsia"/>
                <w:color w:val="000000"/>
                <w:kern w:val="0"/>
                <w:szCs w:val="21"/>
              </w:rPr>
              <w:t>，</w:t>
            </w:r>
            <w:r>
              <w:rPr>
                <w:color w:val="000000"/>
                <w:kern w:val="0"/>
                <w:szCs w:val="21"/>
              </w:rPr>
              <w:t>并有处置记录</w:t>
            </w:r>
            <w:r>
              <w:rPr>
                <w:rFonts w:hint="eastAsia"/>
                <w:color w:val="000000"/>
                <w:kern w:val="0"/>
                <w:szCs w:val="21"/>
              </w:rPr>
              <w:t>；</w:t>
            </w:r>
            <w:r>
              <w:rPr>
                <w:color w:val="000000"/>
                <w:kern w:val="0"/>
                <w:szCs w:val="21"/>
              </w:rPr>
              <w:t>报废含有放射源或可产生放射性的设备，需报学校管理部门同意，并按国家规定进行退役处置</w:t>
            </w:r>
            <w:r>
              <w:rPr>
                <w:rFonts w:hint="eastAsia"/>
                <w:color w:val="000000"/>
                <w:kern w:val="0"/>
                <w:szCs w:val="21"/>
              </w:rPr>
              <w:t>；</w:t>
            </w:r>
            <w:r>
              <w:rPr>
                <w:rFonts w:hint="eastAsia"/>
                <w:bCs/>
                <w:color w:val="000000"/>
                <w:kern w:val="0"/>
                <w:szCs w:val="21"/>
              </w:rPr>
              <w:t>X光管</w:t>
            </w:r>
            <w:r>
              <w:rPr>
                <w:bCs/>
                <w:color w:val="000000"/>
                <w:kern w:val="0"/>
                <w:szCs w:val="21"/>
              </w:rPr>
              <w:t>报废时应敲碎</w:t>
            </w:r>
            <w:r>
              <w:rPr>
                <w:rFonts w:hint="eastAsia"/>
                <w:bCs/>
                <w:color w:val="000000"/>
                <w:kern w:val="0"/>
                <w:szCs w:val="21"/>
              </w:rPr>
              <w:t>，</w:t>
            </w:r>
            <w:r>
              <w:rPr>
                <w:bCs/>
                <w:color w:val="000000"/>
                <w:kern w:val="0"/>
                <w:szCs w:val="21"/>
              </w:rPr>
              <w:t>拍照留存</w:t>
            </w:r>
            <w:r>
              <w:rPr>
                <w:rFonts w:hint="eastAsia"/>
                <w:bCs/>
                <w:color w:val="000000"/>
                <w:kern w:val="0"/>
                <w:szCs w:val="21"/>
              </w:rPr>
              <w:t>；</w:t>
            </w:r>
            <w:r>
              <w:rPr>
                <w:rFonts w:hint="eastAsia"/>
                <w:color w:val="000000"/>
                <w:kern w:val="0"/>
                <w:szCs w:val="21"/>
              </w:rPr>
              <w:t>涉源</w:t>
            </w:r>
            <w:r>
              <w:rPr>
                <w:color w:val="000000"/>
                <w:kern w:val="0"/>
                <w:szCs w:val="21"/>
              </w:rPr>
              <w:t>实验场所退役，须按国家相关规定</w:t>
            </w:r>
            <w:r>
              <w:rPr>
                <w:rFonts w:hint="eastAsia"/>
                <w:color w:val="000000"/>
                <w:kern w:val="0"/>
                <w:szCs w:val="21"/>
              </w:rPr>
              <w:t>执行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11</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机电等</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11.1</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仪器设备</w:t>
            </w:r>
            <w:r>
              <w:rPr>
                <w:b/>
                <w:kern w:val="0"/>
                <w:szCs w:val="21"/>
              </w:rPr>
              <w:t>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w:t>
            </w:r>
            <w:r>
              <w:rPr>
                <w:kern w:val="0"/>
                <w:szCs w:val="21"/>
              </w:rPr>
              <w:t>.1.1</w:t>
            </w:r>
          </w:p>
        </w:tc>
        <w:tc>
          <w:tcPr>
            <w:tcW w:w="3820" w:type="dxa"/>
            <w:shd w:val="clear" w:color="auto" w:fill="auto"/>
            <w:tcMar>
              <w:left w:w="45" w:type="dxa"/>
              <w:right w:w="45" w:type="dxa"/>
            </w:tcMar>
            <w:vAlign w:val="center"/>
          </w:tcPr>
          <w:p>
            <w:pPr>
              <w:widowControl/>
              <w:spacing w:line="300" w:lineRule="exact"/>
              <w:jc w:val="left"/>
              <w:rPr>
                <w:kern w:val="0"/>
                <w:szCs w:val="21"/>
              </w:rPr>
            </w:pPr>
            <w:r>
              <w:rPr>
                <w:kern w:val="0"/>
                <w:szCs w:val="21"/>
              </w:rPr>
              <w:t>建立设备台帐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7374" w:type="dxa"/>
            <w:shd w:val="clear" w:color="auto" w:fill="auto"/>
            <w:tcMar>
              <w:left w:w="45" w:type="dxa"/>
              <w:right w:w="45" w:type="dxa"/>
            </w:tcMar>
            <w:vAlign w:val="center"/>
          </w:tcPr>
          <w:p>
            <w:pPr>
              <w:widowControl/>
              <w:spacing w:line="300" w:lineRule="exact"/>
              <w:jc w:val="left"/>
              <w:rPr>
                <w:b/>
                <w:bCs/>
                <w:kern w:val="0"/>
                <w:szCs w:val="21"/>
              </w:rPr>
            </w:pPr>
            <w:r>
              <w:rPr>
                <w:rFonts w:hint="eastAsia"/>
                <w:kern w:val="0"/>
                <w:szCs w:val="21"/>
              </w:rPr>
              <w:t>查看电子或纸质台帐</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1.1.2</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大型、特种设备的使用需符合相关规定</w:t>
            </w:r>
          </w:p>
        </w:tc>
        <w:tc>
          <w:tcPr>
            <w:tcW w:w="7374"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1.1.3</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仪器设备的接电和用电符合相关要求</w:t>
            </w:r>
          </w:p>
        </w:tc>
        <w:tc>
          <w:tcPr>
            <w:tcW w:w="7374" w:type="dxa"/>
            <w:shd w:val="clear" w:color="auto" w:fill="auto"/>
            <w:tcMar>
              <w:left w:w="45" w:type="dxa"/>
              <w:right w:w="45" w:type="dxa"/>
            </w:tcMar>
            <w:vAlign w:val="center"/>
          </w:tcPr>
          <w:p>
            <w:pPr>
              <w:widowControl/>
              <w:spacing w:line="300" w:lineRule="exact"/>
              <w:jc w:val="left"/>
              <w:rPr>
                <w:kern w:val="0"/>
                <w:szCs w:val="21"/>
              </w:rPr>
            </w:pPr>
            <w:r>
              <w:rPr>
                <w:rFonts w:hint="eastAsia"/>
                <w:szCs w:val="21"/>
              </w:rPr>
              <w:t>仪器设备接地系统应按规范要求，采用铜质材料，且设计寿命不应低于50年，接地电阻不高于0.5欧；电脑、空调、电加热器、饮水机等不随意开机过夜；</w:t>
            </w:r>
            <w:r>
              <w:rPr>
                <w:kern w:val="0"/>
                <w:szCs w:val="21"/>
              </w:rPr>
              <w:t>对于不能断电的特殊仪器设备，采取了必要的防护措施（如双路供电、不间断电源、监控报警等）</w:t>
            </w:r>
            <w:r>
              <w:rPr>
                <w:rFonts w:hint="eastAsia"/>
                <w:kern w:val="0"/>
                <w:szCs w:val="21"/>
              </w:rPr>
              <w:t>，昼夜工作的设备建议有实时监控设施</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11.1.4</w:t>
            </w:r>
          </w:p>
        </w:tc>
        <w:tc>
          <w:tcPr>
            <w:tcW w:w="3820" w:type="dxa"/>
            <w:shd w:val="clear" w:color="auto" w:fill="auto"/>
            <w:tcMar>
              <w:left w:w="45" w:type="dxa"/>
              <w:right w:w="45" w:type="dxa"/>
            </w:tcMar>
            <w:vAlign w:val="center"/>
          </w:tcPr>
          <w:p>
            <w:pPr>
              <w:spacing w:line="300" w:lineRule="exact"/>
              <w:rPr>
                <w:szCs w:val="21"/>
              </w:rPr>
            </w:pPr>
            <w:r>
              <w:rPr>
                <w:rFonts w:hint="eastAsia"/>
                <w:szCs w:val="21"/>
              </w:rPr>
              <w:t>特殊设备应配备相应安全防护措施</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对于超高速离心机，需要放置在离心室</w:t>
            </w:r>
            <w:r>
              <w:rPr>
                <w:rFonts w:hint="eastAsia"/>
                <w:szCs w:val="21"/>
              </w:rPr>
              <w:t>；</w:t>
            </w:r>
            <w:r>
              <w:rPr>
                <w:kern w:val="0"/>
                <w:szCs w:val="21"/>
              </w:rPr>
              <w:t>自研自制设备时，须充分考虑安全系数，并有安全防护措施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11.2</w:t>
            </w:r>
          </w:p>
        </w:tc>
        <w:tc>
          <w:tcPr>
            <w:tcW w:w="14023" w:type="dxa"/>
            <w:gridSpan w:val="3"/>
            <w:shd w:val="clear" w:color="auto" w:fill="auto"/>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机械</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11.2.1</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机械设备应保持清洁整齐，可靠接地</w:t>
            </w:r>
          </w:p>
        </w:tc>
        <w:tc>
          <w:tcPr>
            <w:tcW w:w="7374"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关注要点：机床应保持清洁整齐；严禁在床头、床面、刀架上放一切物件；实验前必须检查机械设备是否可靠接地，防止设备漏电以及在运行中产生静电引发人员触电；热处理加热电炉接地良好，金属物品不能触碰带电部位；实验结束后，应切断电源，整理好场地并将实验用具等摆放整齐，清理好机械设备产生的废渣、屑</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11.2.2</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操作机械设备时实验人员应做好个人防护</w:t>
            </w:r>
          </w:p>
        </w:tc>
        <w:tc>
          <w:tcPr>
            <w:tcW w:w="7374"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高速切削机械操作，工作前穿好工作服，戴好防护眼镜，衣袖口应扣紧，长发学生戴好工作帽。工作场所禁戴手套、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等配饰物，禁穿拖鞋、高跟鞋等；设备在运转时，严禁用手调整；禁止操作人员的身体任一部位进入危险区，如需调整应首先关停机械设备</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11.2.3</w:t>
            </w:r>
          </w:p>
        </w:tc>
        <w:tc>
          <w:tcPr>
            <w:tcW w:w="3820" w:type="dxa"/>
            <w:shd w:val="clear" w:color="auto" w:fill="auto"/>
            <w:tcMar>
              <w:left w:w="45" w:type="dxa"/>
              <w:right w:w="45" w:type="dxa"/>
            </w:tcMar>
            <w:vAlign w:val="center"/>
          </w:tcPr>
          <w:p>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shd w:val="clear" w:color="auto" w:fill="auto"/>
            <w:tcMar>
              <w:left w:w="45" w:type="dxa"/>
              <w:right w:w="45" w:type="dxa"/>
            </w:tcMar>
            <w:vAlign w:val="center"/>
          </w:tcPr>
          <w:p>
            <w:pPr>
              <w:widowControl/>
              <w:spacing w:line="300" w:lineRule="exact"/>
              <w:jc w:val="left"/>
              <w:rPr>
                <w:b/>
                <w:bCs/>
                <w:kern w:val="0"/>
                <w:szCs w:val="21"/>
              </w:rPr>
            </w:pPr>
            <w:r>
              <w:rPr>
                <w:rFonts w:hint="eastAsia"/>
                <w:kern w:val="0"/>
                <w:szCs w:val="21"/>
              </w:rPr>
              <w:t>铸造实验场地宽敞、通道畅通，实验时穿好劳动保护服装；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850 C以上，锻锤空置时应垫有木块</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spacing w:line="300" w:lineRule="exact"/>
              <w:rPr>
                <w:szCs w:val="21"/>
              </w:rPr>
            </w:pPr>
            <w:r>
              <w:rPr>
                <w:rFonts w:hint="eastAsia"/>
                <w:kern w:val="0"/>
                <w:szCs w:val="21"/>
              </w:rPr>
              <w:t>11.2.4</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高空作业应符合相关操作规程</w:t>
            </w:r>
          </w:p>
        </w:tc>
        <w:tc>
          <w:tcPr>
            <w:tcW w:w="7374"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2米以上高空临边、攀登作业，要穿防滑鞋、使用安全带，有相关安全操作规程</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11.3</w:t>
            </w:r>
          </w:p>
        </w:tc>
        <w:tc>
          <w:tcPr>
            <w:tcW w:w="14023" w:type="dxa"/>
            <w:gridSpan w:val="3"/>
            <w:shd w:val="clear" w:color="auto" w:fill="auto"/>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电气</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11.3.1</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电气设备的使用应符合用电安全规范</w:t>
            </w:r>
          </w:p>
        </w:tc>
        <w:tc>
          <w:tcPr>
            <w:tcW w:w="7374"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关注要点：电气设备所用的保险丝(管)的额定电流应与其负荷容量相适应，无用其它金属线代替保险丝(片)现象；各种电器设备及电线应始终保持干燥，防止浸湿，以防短路引起火灾或烧坏电气设备；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高度不低于2米</w:t>
            </w:r>
            <w:r>
              <w:rPr>
                <w:rFonts w:hint="eastAsia"/>
                <w:kern w:val="0"/>
                <w:szCs w:val="21"/>
              </w:rPr>
              <w:t>）；控制室（控制台）应铺橡胶、绝缘垫等；</w:t>
            </w:r>
            <w:r>
              <w:rPr>
                <w:rFonts w:hint="eastAsia"/>
                <w:szCs w:val="21"/>
              </w:rPr>
              <w:t>强电实验室禁止存放易燃、易爆、易腐品，保持通风散热；照明灯应从总开阀上端引出，必须配备干粉灭火器、黄砂箱、铁锹等；应为设备配备残余电流</w:t>
            </w:r>
            <w:r>
              <w:rPr>
                <w:szCs w:val="21"/>
              </w:rPr>
              <w:t>泄放</w:t>
            </w:r>
            <w:r>
              <w:rPr>
                <w:rFonts w:hint="eastAsia"/>
                <w:szCs w:val="21"/>
              </w:rPr>
              <w:t>专用的</w:t>
            </w:r>
            <w:r>
              <w:rPr>
                <w:szCs w:val="21"/>
              </w:rPr>
              <w:t>接地系统</w:t>
            </w:r>
            <w:r>
              <w:rPr>
                <w:rFonts w:hint="eastAsia"/>
                <w:szCs w:val="21"/>
              </w:rPr>
              <w:t>；禁止在充满可燃气体的环境中使用电动工具；电烙铁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11.3.2</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操作电气设备应配备合适的防护器具</w:t>
            </w:r>
          </w:p>
        </w:tc>
        <w:tc>
          <w:tcPr>
            <w:tcW w:w="7374"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强电类实验必须二人以上，操作时应戴绝缘手套；</w:t>
            </w:r>
            <w:r>
              <w:rPr>
                <w:rFonts w:hint="eastAsia"/>
                <w:szCs w:val="21"/>
              </w:rPr>
              <w:t>静电场所，要保持空气湿润，工作人员要穿防静电的衣服和鞋靴；禁止穿着化纤制品等服饰</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11.4</w:t>
            </w:r>
          </w:p>
        </w:tc>
        <w:tc>
          <w:tcPr>
            <w:tcW w:w="14023" w:type="dxa"/>
            <w:gridSpan w:val="3"/>
            <w:shd w:val="clear" w:color="auto" w:fill="auto"/>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11.4.1</w:t>
            </w:r>
          </w:p>
        </w:tc>
        <w:tc>
          <w:tcPr>
            <w:tcW w:w="3820" w:type="dxa"/>
            <w:shd w:val="clear" w:color="auto" w:fill="auto"/>
            <w:tcMar>
              <w:left w:w="45" w:type="dxa"/>
              <w:right w:w="45" w:type="dxa"/>
            </w:tcMar>
            <w:vAlign w:val="center"/>
          </w:tcPr>
          <w:p>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1.4.2</w:t>
            </w:r>
          </w:p>
        </w:tc>
        <w:tc>
          <w:tcPr>
            <w:tcW w:w="3820" w:type="dxa"/>
            <w:shd w:val="clear" w:color="auto" w:fill="auto"/>
            <w:tcMar>
              <w:left w:w="45" w:type="dxa"/>
              <w:right w:w="45" w:type="dxa"/>
            </w:tcMar>
            <w:vAlign w:val="center"/>
          </w:tcPr>
          <w:p>
            <w:pPr>
              <w:widowControl/>
              <w:spacing w:line="300" w:lineRule="exact"/>
              <w:jc w:val="left"/>
              <w:rPr>
                <w:bCs/>
                <w:kern w:val="0"/>
                <w:szCs w:val="21"/>
              </w:rPr>
            </w:pPr>
            <w:r>
              <w:rPr>
                <w:rFonts w:hint="eastAsia"/>
                <w:bCs/>
                <w:kern w:val="0"/>
                <w:szCs w:val="21"/>
              </w:rPr>
              <w:t>激光实验时须佩戴合适的个人防护用具</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hint="eastAsia" w:ascii="Arial" w:hAnsi="Arial" w:cs="Arial"/>
                <w:szCs w:val="21"/>
                <w:shd w:val="clear" w:color="auto" w:fill="FFFFFF"/>
              </w:rPr>
              <w:t>禁止</w:t>
            </w:r>
            <w:r>
              <w:rPr>
                <w:rFonts w:ascii="Arial" w:hAnsi="Arial" w:cs="Arial"/>
                <w:szCs w:val="21"/>
                <w:shd w:val="clear" w:color="auto" w:fill="FFFFFF"/>
              </w:rPr>
              <w:t>直视激光束和它的反向光束</w:t>
            </w:r>
            <w:r>
              <w:rPr>
                <w:rFonts w:hint="eastAsia" w:ascii="Arial" w:hAnsi="Arial" w:cs="Arial"/>
                <w:szCs w:val="21"/>
                <w:shd w:val="clear" w:color="auto" w:fill="FFFFFF"/>
              </w:rPr>
              <w:t>，禁止</w:t>
            </w:r>
            <w:r>
              <w:rPr>
                <w:rFonts w:ascii="Arial" w:hAnsi="Arial" w:cs="Arial"/>
                <w:szCs w:val="21"/>
                <w:shd w:val="clear" w:color="auto" w:fill="FFFFFF"/>
              </w:rPr>
              <w:t>对激光器件做任何目视准直操作</w:t>
            </w:r>
            <w:r>
              <w:rPr>
                <w:rFonts w:hint="eastAsia" w:ascii="Arial" w:hAnsi="Arial" w:cs="Arial"/>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11.5</w:t>
            </w:r>
          </w:p>
        </w:tc>
        <w:tc>
          <w:tcPr>
            <w:tcW w:w="14023" w:type="dxa"/>
            <w:gridSpan w:val="3"/>
            <w:shd w:val="clear" w:color="auto" w:fill="auto"/>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粉尘</w:t>
            </w:r>
            <w:r>
              <w:rPr>
                <w:rFonts w:hint="eastAsia"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11.5.1</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大量粉状物质的储存与使用场所，应选用防爆型的电气设备</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11.5.2</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产生粉尘的实验场所，须穿戴合适的个人防护用具</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粉尘场所应穿防静电棉质衣服，禁止穿化纤材料制作的衣服，工作时必须佩戴防尘口罩和护耳器</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11.5.3</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保证实验室粉尘浓度在爆炸限以下，并配备合适的灭火装置</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禁用干粉、水剂型和泡沫型灭火器；粉尘浓度较高的场所，有加湿装置（喷雾）使湿度在65%以上</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12</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12.1</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起重类</w:t>
            </w:r>
            <w:r>
              <w:rPr>
                <w:b/>
                <w:kern w:val="0"/>
                <w:szCs w:val="21"/>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.1</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额定起重量大于等于3t且提升高度大于等于2m的起重设备须取得《特种设备使用登记证》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.2</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起重机械</w:t>
            </w:r>
            <w:r>
              <w:rPr>
                <w:kern w:val="0"/>
                <w:szCs w:val="21"/>
              </w:rPr>
              <w:t>操作人员</w:t>
            </w:r>
            <w:r>
              <w:rPr>
                <w:rFonts w:hint="eastAsia"/>
                <w:kern w:val="0"/>
                <w:szCs w:val="21"/>
              </w:rPr>
              <w:t>、检验单位须有相关资质</w:t>
            </w:r>
          </w:p>
        </w:tc>
        <w:tc>
          <w:tcPr>
            <w:tcW w:w="7374"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操作人员须取得《特种设备作业人员证》，</w:t>
            </w:r>
            <w:r>
              <w:rPr>
                <w:kern w:val="0"/>
                <w:szCs w:val="21"/>
              </w:rPr>
              <w:t>持证上岗</w:t>
            </w:r>
            <w:r>
              <w:rPr>
                <w:rFonts w:hint="eastAsia"/>
                <w:kern w:val="0"/>
                <w:szCs w:val="21"/>
              </w:rPr>
              <w:t>，并每4年复审一次；委托有资质单位进行定期检验，并将定期检验合格证置于特种设备显著位置</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.3</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起重机械需定期保养，设置警示标示，安装防护设施</w:t>
            </w:r>
          </w:p>
        </w:tc>
        <w:tc>
          <w:tcPr>
            <w:tcW w:w="7374" w:type="dxa"/>
            <w:shd w:val="clear" w:color="auto" w:fill="auto"/>
            <w:tcMar>
              <w:left w:w="45" w:type="dxa"/>
              <w:right w:w="45" w:type="dxa"/>
            </w:tcMar>
            <w:vAlign w:val="center"/>
          </w:tcPr>
          <w:p>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12.2</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.1</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取得《特种设备使用登记证》和《压力容器登记卡》</w:t>
            </w:r>
          </w:p>
        </w:tc>
        <w:tc>
          <w:tcPr>
            <w:tcW w:w="7374"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12.2.2</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压力容器</w:t>
            </w:r>
            <w:r>
              <w:rPr>
                <w:kern w:val="0"/>
                <w:szCs w:val="21"/>
              </w:rPr>
              <w:t>操作人员</w:t>
            </w:r>
            <w:r>
              <w:rPr>
                <w:rFonts w:hint="eastAsia"/>
                <w:kern w:val="0"/>
                <w:szCs w:val="21"/>
              </w:rPr>
              <w:t>、检验单位须有相关资质</w:t>
            </w:r>
          </w:p>
        </w:tc>
        <w:tc>
          <w:tcPr>
            <w:tcW w:w="7374" w:type="dxa"/>
            <w:shd w:val="clear" w:color="auto" w:fill="auto"/>
            <w:tcMar>
              <w:left w:w="45" w:type="dxa"/>
              <w:right w:w="45" w:type="dxa"/>
            </w:tcMar>
            <w:vAlign w:val="center"/>
          </w:tcPr>
          <w:p>
            <w:pPr>
              <w:widowControl/>
              <w:spacing w:line="300" w:lineRule="exact"/>
              <w:jc w:val="left"/>
              <w:rPr>
                <w:kern w:val="0"/>
                <w:szCs w:val="21"/>
              </w:rPr>
            </w:pPr>
            <w:r>
              <w:rPr>
                <w:kern w:val="0"/>
                <w:szCs w:val="21"/>
              </w:rPr>
              <w:t>操作人员持证上岗</w:t>
            </w:r>
            <w:r>
              <w:rPr>
                <w:rFonts w:hint="eastAsia"/>
                <w:kern w:val="0"/>
                <w:szCs w:val="21"/>
              </w:rPr>
              <w:t>，取得《特种设备作业人员证》，并每4年复审一次；委托有资质单位进行定期检验，并将定期检验合格证置于特种设备显著位置；安全阀或压力表等附件需委托有资质单位定期校验或检定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压力容器的存放区域合理，有安全警示标识</w:t>
            </w:r>
          </w:p>
        </w:tc>
        <w:tc>
          <w:tcPr>
            <w:tcW w:w="7374" w:type="dxa"/>
            <w:shd w:val="clear" w:color="auto" w:fill="auto"/>
            <w:tcMar>
              <w:left w:w="45" w:type="dxa"/>
              <w:right w:w="45" w:type="dxa"/>
            </w:tcMar>
            <w:vAlign w:val="center"/>
          </w:tcPr>
          <w:p>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大型实验气体罐的存储场所应通风、干燥、防止雨（雪）淋、水浸，避免阳光直射，严禁明火和其它热源；大型实验气体（窒息、可燃类）罐必须放置在室外，周围设置隔离装置、安全警示标识；可燃性性</w:t>
            </w:r>
            <w:r>
              <w:rPr>
                <w:kern w:val="0"/>
                <w:szCs w:val="21"/>
              </w:rPr>
              <w:t>气罐远离火源热源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存储可燃、爆炸性气体的气罐满足防爆要求</w:t>
            </w:r>
          </w:p>
        </w:tc>
        <w:tc>
          <w:tcPr>
            <w:tcW w:w="7374"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容器的电器开关和熔断器都应设置在明显位置，同时应设避雷装置；电气设施是否防爆，避雷装置是否接地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kern w:val="0"/>
                <w:szCs w:val="21"/>
              </w:rPr>
              <w:t>12.2.</w:t>
            </w:r>
            <w:r>
              <w:rPr>
                <w:rFonts w:hint="eastAsia"/>
                <w:kern w:val="0"/>
                <w:szCs w:val="21"/>
              </w:rPr>
              <w:t>5</w:t>
            </w:r>
          </w:p>
        </w:tc>
        <w:tc>
          <w:tcPr>
            <w:tcW w:w="3820"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压力容器应有专用管理制度和操作规程，实行使用登记</w:t>
            </w:r>
          </w:p>
        </w:tc>
        <w:tc>
          <w:tcPr>
            <w:tcW w:w="7374" w:type="dxa"/>
            <w:shd w:val="clear" w:color="auto" w:fill="auto"/>
            <w:tcMar>
              <w:left w:w="45" w:type="dxa"/>
              <w:right w:w="45" w:type="dxa"/>
            </w:tcMar>
            <w:vAlign w:val="center"/>
          </w:tcPr>
          <w:p>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大型实验气体罐外表涂色、腐蚀、变形、磨损、裂纹，附件是否齐全、完好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12.3</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.1</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取得《厂内机动车辆监督检验报告》</w:t>
            </w:r>
          </w:p>
        </w:tc>
        <w:tc>
          <w:tcPr>
            <w:tcW w:w="7374" w:type="dxa"/>
            <w:shd w:val="clear" w:color="auto" w:fill="auto"/>
            <w:tcMar>
              <w:left w:w="45" w:type="dxa"/>
              <w:right w:w="45" w:type="dxa"/>
            </w:tcMar>
            <w:vAlign w:val="center"/>
          </w:tcPr>
          <w:p>
            <w:pPr>
              <w:widowControl/>
              <w:spacing w:line="300" w:lineRule="exact"/>
              <w:jc w:val="left"/>
              <w:rPr>
                <w:kern w:val="0"/>
                <w:szCs w:val="21"/>
              </w:rPr>
            </w:pP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.2</w:t>
            </w:r>
          </w:p>
        </w:tc>
        <w:tc>
          <w:tcPr>
            <w:tcW w:w="3820" w:type="dxa"/>
            <w:shd w:val="clear" w:color="auto" w:fill="auto"/>
            <w:tcMar>
              <w:left w:w="45" w:type="dxa"/>
              <w:right w:w="45" w:type="dxa"/>
            </w:tcMar>
            <w:vAlign w:val="center"/>
          </w:tcPr>
          <w:p>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7374" w:type="dxa"/>
            <w:shd w:val="clear" w:color="auto" w:fill="auto"/>
            <w:tcMar>
              <w:left w:w="45" w:type="dxa"/>
              <w:right w:w="45" w:type="dxa"/>
            </w:tcMar>
            <w:vAlign w:val="center"/>
          </w:tcPr>
          <w:p>
            <w:pPr>
              <w:widowControl/>
              <w:spacing w:line="300" w:lineRule="exact"/>
              <w:jc w:val="left"/>
              <w:rPr>
                <w:b/>
                <w:bCs/>
                <w:kern w:val="0"/>
                <w:szCs w:val="21"/>
              </w:rPr>
            </w:pPr>
            <w:r>
              <w:rPr>
                <w:rFonts w:hint="eastAsia"/>
                <w:kern w:val="0"/>
                <w:szCs w:val="21"/>
              </w:rPr>
              <w:t>证书在有效期内</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.3</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委托有资质单位进行定期检验</w:t>
            </w:r>
          </w:p>
        </w:tc>
        <w:tc>
          <w:tcPr>
            <w:tcW w:w="7374"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shd w:val="clear" w:color="auto" w:fill="auto"/>
            <w:tcMar>
              <w:left w:w="45" w:type="dxa"/>
              <w:right w:w="45" w:type="dxa"/>
            </w:tcMar>
            <w:vAlign w:val="center"/>
          </w:tcPr>
          <w:p>
            <w:pPr>
              <w:widowControl/>
              <w:spacing w:line="300" w:lineRule="exact"/>
              <w:jc w:val="left"/>
              <w:rPr>
                <w:b/>
                <w:kern w:val="0"/>
                <w:szCs w:val="21"/>
              </w:rPr>
            </w:pPr>
            <w:r>
              <w:rPr>
                <w:rFonts w:hint="eastAsia"/>
                <w:b/>
                <w:kern w:val="0"/>
                <w:szCs w:val="21"/>
              </w:rPr>
              <w:t>加热及制冷装置</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4.1</w:t>
            </w:r>
          </w:p>
        </w:tc>
        <w:tc>
          <w:tcPr>
            <w:tcW w:w="3820" w:type="dxa"/>
            <w:shd w:val="clear" w:color="auto" w:fill="auto"/>
            <w:tcMar>
              <w:left w:w="45" w:type="dxa"/>
              <w:right w:w="45" w:type="dxa"/>
            </w:tcMar>
            <w:vAlign w:val="center"/>
          </w:tcPr>
          <w:p>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shd w:val="clear" w:color="auto" w:fill="auto"/>
            <w:tcMar>
              <w:left w:w="45" w:type="dxa"/>
              <w:right w:w="45" w:type="dxa"/>
            </w:tcMar>
            <w:vAlign w:val="center"/>
          </w:tcPr>
          <w:p>
            <w:pPr>
              <w:widowControl/>
              <w:spacing w:line="300" w:lineRule="exact"/>
              <w:jc w:val="left"/>
              <w:rPr>
                <w:kern w:val="0"/>
                <w:szCs w:val="21"/>
              </w:rPr>
            </w:pPr>
            <w:r>
              <w:rPr>
                <w:kern w:val="0"/>
                <w:szCs w:val="21"/>
              </w:rPr>
              <w:t>贮存危险化学品的冰箱为防爆冰箱或经过防爆改造的冰箱，禁止使用无霜</w:t>
            </w:r>
            <w:r>
              <w:rPr>
                <w:rFonts w:hint="eastAsia"/>
                <w:kern w:val="0"/>
                <w:szCs w:val="21"/>
              </w:rPr>
              <w:t>型</w:t>
            </w:r>
            <w:r>
              <w:rPr>
                <w:kern w:val="0"/>
                <w:szCs w:val="21"/>
              </w:rPr>
              <w:t>冰箱储存易燃易爆试剂</w:t>
            </w: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4.2</w:t>
            </w:r>
          </w:p>
        </w:tc>
        <w:tc>
          <w:tcPr>
            <w:tcW w:w="3820" w:type="dxa"/>
            <w:shd w:val="clear" w:color="auto" w:fill="auto"/>
            <w:tcMar>
              <w:left w:w="45" w:type="dxa"/>
              <w:right w:w="45" w:type="dxa"/>
            </w:tcMar>
            <w:vAlign w:val="center"/>
          </w:tcPr>
          <w:p>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标识至少包括：</w:t>
            </w:r>
            <w:r>
              <w:rPr>
                <w:kern w:val="0"/>
                <w:szCs w:val="21"/>
              </w:rPr>
              <w:t>品名、使用人、日期等，并经常清理</w:t>
            </w:r>
            <w:r>
              <w:rPr>
                <w:rFonts w:hint="eastAsia"/>
                <w:kern w:val="0"/>
                <w:szCs w:val="21"/>
              </w:rPr>
              <w:t>；试剂瓶螺口拧紧，无开口容器；</w:t>
            </w:r>
            <w:r>
              <w:rPr>
                <w:kern w:val="0"/>
                <w:szCs w:val="21"/>
              </w:rPr>
              <w:t>实验室冰箱中不放置食品</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shd w:val="clear" w:color="auto" w:fill="auto"/>
            <w:tcMar>
              <w:left w:w="45" w:type="dxa"/>
              <w:right w:w="45" w:type="dxa"/>
            </w:tcMar>
            <w:vAlign w:val="center"/>
          </w:tcPr>
          <w:p>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超期服役（一般使用期限控制为10年）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r>
              <w:rPr>
                <w:rFonts w:hint="eastAsia"/>
                <w:kern w:val="0"/>
                <w:szCs w:val="21"/>
              </w:rPr>
              <w:t>；</w:t>
            </w:r>
            <w:r>
              <w:rPr>
                <w:kern w:val="0"/>
                <w:szCs w:val="21"/>
              </w:rPr>
              <w:t>烘箱、电阻炉</w:t>
            </w:r>
            <w:r>
              <w:rPr>
                <w:rFonts w:hint="eastAsia"/>
                <w:kern w:val="0"/>
                <w:szCs w:val="21"/>
              </w:rPr>
              <w:t>不</w:t>
            </w:r>
            <w:r>
              <w:rPr>
                <w:kern w:val="0"/>
                <w:szCs w:val="21"/>
              </w:rPr>
              <w:t>超期服役（一般使用期限控制为12年）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12.4.4</w:t>
            </w:r>
          </w:p>
        </w:tc>
        <w:tc>
          <w:tcPr>
            <w:tcW w:w="3820" w:type="dxa"/>
            <w:shd w:val="clear" w:color="auto" w:fill="auto"/>
            <w:tcMar>
              <w:left w:w="45" w:type="dxa"/>
              <w:right w:w="45" w:type="dxa"/>
            </w:tcMar>
            <w:vAlign w:val="center"/>
          </w:tcPr>
          <w:p>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使用烘箱、电阻炉等加热设备时有人值守（或10-15分钟检查一次）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shd w:val="clear" w:color="auto" w:fill="auto"/>
            <w:tcMar>
              <w:left w:w="45" w:type="dxa"/>
              <w:right w:w="45" w:type="dxa"/>
            </w:tcMar>
            <w:vAlign w:val="center"/>
          </w:tcPr>
          <w:p>
            <w:pPr>
              <w:widowControl/>
              <w:spacing w:line="300" w:lineRule="exact"/>
              <w:jc w:val="left"/>
              <w:rPr>
                <w:szCs w:val="21"/>
              </w:rPr>
            </w:pPr>
            <w:r>
              <w:rPr>
                <w:rFonts w:hint="eastAsia"/>
                <w:kern w:val="0"/>
                <w:szCs w:val="21"/>
              </w:rPr>
              <w:t>使用明火电炉或者电吹风须有安全防范举措</w:t>
            </w:r>
          </w:p>
        </w:tc>
        <w:tc>
          <w:tcPr>
            <w:tcW w:w="7374" w:type="dxa"/>
            <w:shd w:val="clear" w:color="auto" w:fill="auto"/>
            <w:tcMar>
              <w:left w:w="45" w:type="dxa"/>
              <w:right w:w="45" w:type="dxa"/>
            </w:tcMar>
            <w:vAlign w:val="center"/>
          </w:tcPr>
          <w:p>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rFonts w:hint="eastAsia"/>
                <w:kern w:val="0"/>
                <w:szCs w:val="21"/>
              </w:rPr>
              <w:t>；</w:t>
            </w:r>
            <w:r>
              <w:rPr>
                <w:kern w:val="0"/>
                <w:szCs w:val="21"/>
              </w:rPr>
              <w:t>有许可证使用明火电炉的，其使用位置周围无易燃物品，并配备了灭火器、砂桶等灭火设施</w:t>
            </w:r>
            <w:r>
              <w:rPr>
                <w:rFonts w:hint="eastAsia"/>
                <w:kern w:val="0"/>
                <w:szCs w:val="21"/>
              </w:rPr>
              <w:t>；</w:t>
            </w:r>
            <w:r>
              <w:rPr>
                <w:kern w:val="0"/>
                <w:szCs w:val="21"/>
              </w:rPr>
              <w:t>不使用明火电炉加热易燃易爆</w:t>
            </w:r>
            <w:r>
              <w:rPr>
                <w:rFonts w:hint="eastAsia"/>
                <w:kern w:val="0"/>
                <w:szCs w:val="21"/>
              </w:rPr>
              <w:t>试剂；</w:t>
            </w:r>
            <w:r>
              <w:rPr>
                <w:kern w:val="0"/>
                <w:szCs w:val="21"/>
              </w:rPr>
              <w:t>明火电炉、电吹风、电热枪等用毕，及时拔除电源插头</w:t>
            </w:r>
            <w:r>
              <w:rPr>
                <w:rFonts w:hint="eastAsia"/>
                <w:kern w:val="0"/>
                <w:szCs w:val="21"/>
              </w:rPr>
              <w:t>；不能用纸质、木质等材料自制红外灯烘箱</w:t>
            </w:r>
          </w:p>
        </w:tc>
        <w:tc>
          <w:tcPr>
            <w:tcW w:w="2829" w:type="dxa"/>
            <w:tcMar>
              <w:left w:w="45" w:type="dxa"/>
              <w:right w:w="45" w:type="dxa"/>
            </w:tcMar>
            <w:vAlign w:val="center"/>
          </w:tcPr>
          <w:p>
            <w:pPr>
              <w:widowControl/>
              <w:spacing w:line="300" w:lineRule="exact"/>
              <w:jc w:val="left"/>
              <w:rPr>
                <w:kern w:val="0"/>
                <w:szCs w:val="21"/>
              </w:rPr>
            </w:pPr>
          </w:p>
        </w:tc>
      </w:tr>
    </w:tbl>
    <w:p>
      <w:pPr>
        <w:adjustRightInd w:val="0"/>
        <w:snapToGrid w:val="0"/>
        <w:spacing w:before="156" w:beforeLines="50"/>
        <w:jc w:val="left"/>
      </w:pPr>
    </w:p>
    <w:sectPr>
      <w:footerReference r:id="rId3" w:type="default"/>
      <w:pgSz w:w="16838" w:h="11906" w:orient="landscape"/>
      <w:pgMar w:top="1247" w:right="1418" w:bottom="1134"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ºÚÌå">
    <w:altName w:val="Arial"/>
    <w:panose1 w:val="00000000000000000000"/>
    <w:charset w:val="00"/>
    <w:family w:val="moder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96B"/>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5D3E"/>
    <w:rsid w:val="00027CE8"/>
    <w:rsid w:val="00032348"/>
    <w:rsid w:val="000344B2"/>
    <w:rsid w:val="000349F6"/>
    <w:rsid w:val="00036149"/>
    <w:rsid w:val="00037567"/>
    <w:rsid w:val="0004022D"/>
    <w:rsid w:val="00041761"/>
    <w:rsid w:val="00045AFE"/>
    <w:rsid w:val="000500EB"/>
    <w:rsid w:val="00050332"/>
    <w:rsid w:val="00050A3F"/>
    <w:rsid w:val="000534B0"/>
    <w:rsid w:val="00054FE8"/>
    <w:rsid w:val="0005502C"/>
    <w:rsid w:val="000561EB"/>
    <w:rsid w:val="00062B6A"/>
    <w:rsid w:val="000631C4"/>
    <w:rsid w:val="00063601"/>
    <w:rsid w:val="00064691"/>
    <w:rsid w:val="00065355"/>
    <w:rsid w:val="000662B9"/>
    <w:rsid w:val="00067A83"/>
    <w:rsid w:val="0007264E"/>
    <w:rsid w:val="000730A7"/>
    <w:rsid w:val="000740FE"/>
    <w:rsid w:val="00074118"/>
    <w:rsid w:val="00075121"/>
    <w:rsid w:val="00080553"/>
    <w:rsid w:val="000841ED"/>
    <w:rsid w:val="00085554"/>
    <w:rsid w:val="00087332"/>
    <w:rsid w:val="00090D7D"/>
    <w:rsid w:val="000927AE"/>
    <w:rsid w:val="00094034"/>
    <w:rsid w:val="0009716A"/>
    <w:rsid w:val="00097205"/>
    <w:rsid w:val="000A2040"/>
    <w:rsid w:val="000A3CF6"/>
    <w:rsid w:val="000A4456"/>
    <w:rsid w:val="000A4E74"/>
    <w:rsid w:val="000A4F36"/>
    <w:rsid w:val="000B02CC"/>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D66"/>
    <w:rsid w:val="001013B9"/>
    <w:rsid w:val="0010152B"/>
    <w:rsid w:val="001040F3"/>
    <w:rsid w:val="00107176"/>
    <w:rsid w:val="00107337"/>
    <w:rsid w:val="001073B8"/>
    <w:rsid w:val="00107532"/>
    <w:rsid w:val="00107F92"/>
    <w:rsid w:val="001112B5"/>
    <w:rsid w:val="001119FB"/>
    <w:rsid w:val="00113C6B"/>
    <w:rsid w:val="00114A79"/>
    <w:rsid w:val="00117113"/>
    <w:rsid w:val="00117E7E"/>
    <w:rsid w:val="00120B03"/>
    <w:rsid w:val="00120EFB"/>
    <w:rsid w:val="0012236F"/>
    <w:rsid w:val="00122754"/>
    <w:rsid w:val="0012298A"/>
    <w:rsid w:val="00123622"/>
    <w:rsid w:val="00125C51"/>
    <w:rsid w:val="00126CE4"/>
    <w:rsid w:val="0012755C"/>
    <w:rsid w:val="00131CE5"/>
    <w:rsid w:val="00132CA5"/>
    <w:rsid w:val="001334D8"/>
    <w:rsid w:val="00135444"/>
    <w:rsid w:val="00135DBD"/>
    <w:rsid w:val="0013645C"/>
    <w:rsid w:val="00142F28"/>
    <w:rsid w:val="00142F90"/>
    <w:rsid w:val="00143F64"/>
    <w:rsid w:val="001473EB"/>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81"/>
    <w:rsid w:val="0018014D"/>
    <w:rsid w:val="001805A6"/>
    <w:rsid w:val="00180E01"/>
    <w:rsid w:val="001829C0"/>
    <w:rsid w:val="00190122"/>
    <w:rsid w:val="001902EC"/>
    <w:rsid w:val="00190F17"/>
    <w:rsid w:val="00190FE8"/>
    <w:rsid w:val="001915CE"/>
    <w:rsid w:val="00196097"/>
    <w:rsid w:val="00197334"/>
    <w:rsid w:val="001979A5"/>
    <w:rsid w:val="001A3AAC"/>
    <w:rsid w:val="001A4DD0"/>
    <w:rsid w:val="001A70CA"/>
    <w:rsid w:val="001B0B26"/>
    <w:rsid w:val="001B1667"/>
    <w:rsid w:val="001B16DB"/>
    <w:rsid w:val="001B1CF6"/>
    <w:rsid w:val="001B23B2"/>
    <w:rsid w:val="001B2652"/>
    <w:rsid w:val="001B2B5D"/>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EDD"/>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305E"/>
    <w:rsid w:val="002249E7"/>
    <w:rsid w:val="00224CAF"/>
    <w:rsid w:val="00225846"/>
    <w:rsid w:val="00225B7D"/>
    <w:rsid w:val="00225F53"/>
    <w:rsid w:val="00230750"/>
    <w:rsid w:val="00232026"/>
    <w:rsid w:val="002336B8"/>
    <w:rsid w:val="00236EE4"/>
    <w:rsid w:val="0023790C"/>
    <w:rsid w:val="00237EBE"/>
    <w:rsid w:val="002401F5"/>
    <w:rsid w:val="00241712"/>
    <w:rsid w:val="00241A97"/>
    <w:rsid w:val="00242483"/>
    <w:rsid w:val="00242B32"/>
    <w:rsid w:val="002542FD"/>
    <w:rsid w:val="00255C8C"/>
    <w:rsid w:val="00255D52"/>
    <w:rsid w:val="00260336"/>
    <w:rsid w:val="00260852"/>
    <w:rsid w:val="00261941"/>
    <w:rsid w:val="00262577"/>
    <w:rsid w:val="00263347"/>
    <w:rsid w:val="002709C1"/>
    <w:rsid w:val="002717FD"/>
    <w:rsid w:val="00271D7A"/>
    <w:rsid w:val="00275E3C"/>
    <w:rsid w:val="00276BD3"/>
    <w:rsid w:val="00276E06"/>
    <w:rsid w:val="00277FBA"/>
    <w:rsid w:val="00281C08"/>
    <w:rsid w:val="0028289C"/>
    <w:rsid w:val="00282D6E"/>
    <w:rsid w:val="00283339"/>
    <w:rsid w:val="00285831"/>
    <w:rsid w:val="002914AD"/>
    <w:rsid w:val="00291F5A"/>
    <w:rsid w:val="00297386"/>
    <w:rsid w:val="002A0679"/>
    <w:rsid w:val="002A2A2E"/>
    <w:rsid w:val="002A35AC"/>
    <w:rsid w:val="002A6CBD"/>
    <w:rsid w:val="002A79BC"/>
    <w:rsid w:val="002B3ACD"/>
    <w:rsid w:val="002B60D7"/>
    <w:rsid w:val="002C0048"/>
    <w:rsid w:val="002C13EF"/>
    <w:rsid w:val="002C17E5"/>
    <w:rsid w:val="002C1E7F"/>
    <w:rsid w:val="002C3C60"/>
    <w:rsid w:val="002C4529"/>
    <w:rsid w:val="002C586F"/>
    <w:rsid w:val="002C6B5B"/>
    <w:rsid w:val="002D216D"/>
    <w:rsid w:val="002D22B6"/>
    <w:rsid w:val="002D2C5E"/>
    <w:rsid w:val="002D38F5"/>
    <w:rsid w:val="002D5074"/>
    <w:rsid w:val="002D76D9"/>
    <w:rsid w:val="002E00FB"/>
    <w:rsid w:val="002E2D3E"/>
    <w:rsid w:val="002E3485"/>
    <w:rsid w:val="002E3E8F"/>
    <w:rsid w:val="002E4C01"/>
    <w:rsid w:val="002E55BE"/>
    <w:rsid w:val="002F2441"/>
    <w:rsid w:val="002F2870"/>
    <w:rsid w:val="002F332F"/>
    <w:rsid w:val="002F422D"/>
    <w:rsid w:val="002F4283"/>
    <w:rsid w:val="002F60F0"/>
    <w:rsid w:val="002F63D6"/>
    <w:rsid w:val="002F6EA9"/>
    <w:rsid w:val="002F7375"/>
    <w:rsid w:val="003012E3"/>
    <w:rsid w:val="00302310"/>
    <w:rsid w:val="003044AB"/>
    <w:rsid w:val="00310ABE"/>
    <w:rsid w:val="003168D9"/>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CF3"/>
    <w:rsid w:val="00344710"/>
    <w:rsid w:val="003454BC"/>
    <w:rsid w:val="00346950"/>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FAB"/>
    <w:rsid w:val="00376FDA"/>
    <w:rsid w:val="003775DB"/>
    <w:rsid w:val="0037763C"/>
    <w:rsid w:val="003776B4"/>
    <w:rsid w:val="00377F67"/>
    <w:rsid w:val="00380A30"/>
    <w:rsid w:val="00381C42"/>
    <w:rsid w:val="00382021"/>
    <w:rsid w:val="00384F21"/>
    <w:rsid w:val="00387213"/>
    <w:rsid w:val="00387D20"/>
    <w:rsid w:val="003910BA"/>
    <w:rsid w:val="00391CDC"/>
    <w:rsid w:val="0039330B"/>
    <w:rsid w:val="00394BF6"/>
    <w:rsid w:val="0039653B"/>
    <w:rsid w:val="003968EA"/>
    <w:rsid w:val="003979AA"/>
    <w:rsid w:val="003A108E"/>
    <w:rsid w:val="003A1BC1"/>
    <w:rsid w:val="003A30A2"/>
    <w:rsid w:val="003A363C"/>
    <w:rsid w:val="003A4EDD"/>
    <w:rsid w:val="003A6E6B"/>
    <w:rsid w:val="003A7E61"/>
    <w:rsid w:val="003B1481"/>
    <w:rsid w:val="003B319C"/>
    <w:rsid w:val="003C039B"/>
    <w:rsid w:val="003C22F8"/>
    <w:rsid w:val="003C2A42"/>
    <w:rsid w:val="003C44F0"/>
    <w:rsid w:val="003C6ABB"/>
    <w:rsid w:val="003C7F9A"/>
    <w:rsid w:val="003D3C99"/>
    <w:rsid w:val="003D43C4"/>
    <w:rsid w:val="003D6177"/>
    <w:rsid w:val="003E6F3F"/>
    <w:rsid w:val="003E78ED"/>
    <w:rsid w:val="003F2694"/>
    <w:rsid w:val="003F3BD2"/>
    <w:rsid w:val="003F3C46"/>
    <w:rsid w:val="003F4D88"/>
    <w:rsid w:val="003F5BA3"/>
    <w:rsid w:val="003F74C2"/>
    <w:rsid w:val="00402052"/>
    <w:rsid w:val="00405994"/>
    <w:rsid w:val="004067F5"/>
    <w:rsid w:val="004069ED"/>
    <w:rsid w:val="004072B6"/>
    <w:rsid w:val="00407B11"/>
    <w:rsid w:val="00410409"/>
    <w:rsid w:val="00411B39"/>
    <w:rsid w:val="00411FB9"/>
    <w:rsid w:val="004130BD"/>
    <w:rsid w:val="00414256"/>
    <w:rsid w:val="00414E69"/>
    <w:rsid w:val="004153D4"/>
    <w:rsid w:val="00415984"/>
    <w:rsid w:val="004203B0"/>
    <w:rsid w:val="00420F30"/>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52BD"/>
    <w:rsid w:val="00436CAB"/>
    <w:rsid w:val="00440BF0"/>
    <w:rsid w:val="00444DFA"/>
    <w:rsid w:val="00445C73"/>
    <w:rsid w:val="004474CC"/>
    <w:rsid w:val="00447C6A"/>
    <w:rsid w:val="00453739"/>
    <w:rsid w:val="0045391A"/>
    <w:rsid w:val="00456636"/>
    <w:rsid w:val="00460D2E"/>
    <w:rsid w:val="004612CD"/>
    <w:rsid w:val="00462221"/>
    <w:rsid w:val="00462734"/>
    <w:rsid w:val="00464024"/>
    <w:rsid w:val="004644FD"/>
    <w:rsid w:val="004659C1"/>
    <w:rsid w:val="00466C97"/>
    <w:rsid w:val="00466EA6"/>
    <w:rsid w:val="004735DF"/>
    <w:rsid w:val="0047428E"/>
    <w:rsid w:val="0047457E"/>
    <w:rsid w:val="004753DB"/>
    <w:rsid w:val="00475423"/>
    <w:rsid w:val="004805DC"/>
    <w:rsid w:val="00482197"/>
    <w:rsid w:val="004826F7"/>
    <w:rsid w:val="00482F12"/>
    <w:rsid w:val="00486088"/>
    <w:rsid w:val="00486E81"/>
    <w:rsid w:val="004927BE"/>
    <w:rsid w:val="00494721"/>
    <w:rsid w:val="0049526A"/>
    <w:rsid w:val="00495560"/>
    <w:rsid w:val="00496A2B"/>
    <w:rsid w:val="0049748F"/>
    <w:rsid w:val="004A0637"/>
    <w:rsid w:val="004A064E"/>
    <w:rsid w:val="004A1AE7"/>
    <w:rsid w:val="004A2698"/>
    <w:rsid w:val="004A3692"/>
    <w:rsid w:val="004A60DD"/>
    <w:rsid w:val="004B0C53"/>
    <w:rsid w:val="004B0CEC"/>
    <w:rsid w:val="004B17E1"/>
    <w:rsid w:val="004B2DB2"/>
    <w:rsid w:val="004C0020"/>
    <w:rsid w:val="004C130A"/>
    <w:rsid w:val="004C18F5"/>
    <w:rsid w:val="004C1F34"/>
    <w:rsid w:val="004C4077"/>
    <w:rsid w:val="004C416E"/>
    <w:rsid w:val="004C4CBA"/>
    <w:rsid w:val="004C5E32"/>
    <w:rsid w:val="004C689D"/>
    <w:rsid w:val="004C7968"/>
    <w:rsid w:val="004D198C"/>
    <w:rsid w:val="004D4C5E"/>
    <w:rsid w:val="004D617A"/>
    <w:rsid w:val="004D7784"/>
    <w:rsid w:val="004E04BA"/>
    <w:rsid w:val="004E140E"/>
    <w:rsid w:val="004E1721"/>
    <w:rsid w:val="004E53B0"/>
    <w:rsid w:val="004E5633"/>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11DC0"/>
    <w:rsid w:val="00515978"/>
    <w:rsid w:val="00516278"/>
    <w:rsid w:val="0051632E"/>
    <w:rsid w:val="00516799"/>
    <w:rsid w:val="00520D98"/>
    <w:rsid w:val="00522EFA"/>
    <w:rsid w:val="00523013"/>
    <w:rsid w:val="0052541B"/>
    <w:rsid w:val="00525796"/>
    <w:rsid w:val="005263F0"/>
    <w:rsid w:val="00526FCD"/>
    <w:rsid w:val="00527204"/>
    <w:rsid w:val="00531CAB"/>
    <w:rsid w:val="00533876"/>
    <w:rsid w:val="005361DE"/>
    <w:rsid w:val="00537B59"/>
    <w:rsid w:val="00537B6E"/>
    <w:rsid w:val="00540C78"/>
    <w:rsid w:val="0054230F"/>
    <w:rsid w:val="00543880"/>
    <w:rsid w:val="005441D1"/>
    <w:rsid w:val="00544BFC"/>
    <w:rsid w:val="0054527C"/>
    <w:rsid w:val="0054610B"/>
    <w:rsid w:val="00546640"/>
    <w:rsid w:val="00547028"/>
    <w:rsid w:val="00552930"/>
    <w:rsid w:val="005544D2"/>
    <w:rsid w:val="0055589E"/>
    <w:rsid w:val="00560AA0"/>
    <w:rsid w:val="00560D11"/>
    <w:rsid w:val="00560D49"/>
    <w:rsid w:val="00561117"/>
    <w:rsid w:val="005629F9"/>
    <w:rsid w:val="00562FB0"/>
    <w:rsid w:val="005669D3"/>
    <w:rsid w:val="005717D7"/>
    <w:rsid w:val="00571BF9"/>
    <w:rsid w:val="0057252B"/>
    <w:rsid w:val="005740F2"/>
    <w:rsid w:val="00575952"/>
    <w:rsid w:val="00577230"/>
    <w:rsid w:val="00577DFD"/>
    <w:rsid w:val="00581600"/>
    <w:rsid w:val="0058248B"/>
    <w:rsid w:val="00583D75"/>
    <w:rsid w:val="0058405E"/>
    <w:rsid w:val="00584886"/>
    <w:rsid w:val="0058656F"/>
    <w:rsid w:val="0059221F"/>
    <w:rsid w:val="00592A21"/>
    <w:rsid w:val="00596975"/>
    <w:rsid w:val="0059799E"/>
    <w:rsid w:val="00597C01"/>
    <w:rsid w:val="005A09EA"/>
    <w:rsid w:val="005A0E14"/>
    <w:rsid w:val="005A1751"/>
    <w:rsid w:val="005A1B98"/>
    <w:rsid w:val="005A29E8"/>
    <w:rsid w:val="005A50C3"/>
    <w:rsid w:val="005A5863"/>
    <w:rsid w:val="005A5FE9"/>
    <w:rsid w:val="005A6550"/>
    <w:rsid w:val="005A6D62"/>
    <w:rsid w:val="005A78E8"/>
    <w:rsid w:val="005B18DE"/>
    <w:rsid w:val="005B4A77"/>
    <w:rsid w:val="005B4DD4"/>
    <w:rsid w:val="005B4F7D"/>
    <w:rsid w:val="005B6D7D"/>
    <w:rsid w:val="005C069D"/>
    <w:rsid w:val="005C1A32"/>
    <w:rsid w:val="005C1C28"/>
    <w:rsid w:val="005C263D"/>
    <w:rsid w:val="005C3945"/>
    <w:rsid w:val="005C505C"/>
    <w:rsid w:val="005C79FC"/>
    <w:rsid w:val="005D3A48"/>
    <w:rsid w:val="005D3E53"/>
    <w:rsid w:val="005D47BC"/>
    <w:rsid w:val="005D70A6"/>
    <w:rsid w:val="005E4161"/>
    <w:rsid w:val="005E6842"/>
    <w:rsid w:val="005E68EB"/>
    <w:rsid w:val="005F1A8A"/>
    <w:rsid w:val="005F23FF"/>
    <w:rsid w:val="005F315A"/>
    <w:rsid w:val="005F5A03"/>
    <w:rsid w:val="006005DE"/>
    <w:rsid w:val="00600BF7"/>
    <w:rsid w:val="00601E84"/>
    <w:rsid w:val="006032C1"/>
    <w:rsid w:val="00603444"/>
    <w:rsid w:val="00605210"/>
    <w:rsid w:val="00607F9F"/>
    <w:rsid w:val="0061454A"/>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72C4"/>
    <w:rsid w:val="006429C6"/>
    <w:rsid w:val="00642AC8"/>
    <w:rsid w:val="00645E46"/>
    <w:rsid w:val="006509D7"/>
    <w:rsid w:val="00651AD6"/>
    <w:rsid w:val="00652BD9"/>
    <w:rsid w:val="00652D3B"/>
    <w:rsid w:val="00655B75"/>
    <w:rsid w:val="006564F3"/>
    <w:rsid w:val="00656770"/>
    <w:rsid w:val="006574B9"/>
    <w:rsid w:val="00661249"/>
    <w:rsid w:val="00661DCF"/>
    <w:rsid w:val="0066275A"/>
    <w:rsid w:val="00662BB0"/>
    <w:rsid w:val="0066364C"/>
    <w:rsid w:val="006644F6"/>
    <w:rsid w:val="006646C2"/>
    <w:rsid w:val="006656D0"/>
    <w:rsid w:val="00666AD3"/>
    <w:rsid w:val="00667FE5"/>
    <w:rsid w:val="00670740"/>
    <w:rsid w:val="00672A02"/>
    <w:rsid w:val="006800A8"/>
    <w:rsid w:val="00681F52"/>
    <w:rsid w:val="00683AC0"/>
    <w:rsid w:val="00685ED1"/>
    <w:rsid w:val="00691D4D"/>
    <w:rsid w:val="00692009"/>
    <w:rsid w:val="006924EB"/>
    <w:rsid w:val="00694CD2"/>
    <w:rsid w:val="006957F9"/>
    <w:rsid w:val="00697175"/>
    <w:rsid w:val="00697F20"/>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D31"/>
    <w:rsid w:val="006C7A24"/>
    <w:rsid w:val="006D09AB"/>
    <w:rsid w:val="006D0CB0"/>
    <w:rsid w:val="006D10F6"/>
    <w:rsid w:val="006D2B49"/>
    <w:rsid w:val="006D7EC6"/>
    <w:rsid w:val="006E1A4E"/>
    <w:rsid w:val="006E26E7"/>
    <w:rsid w:val="006E3C1D"/>
    <w:rsid w:val="006E59D5"/>
    <w:rsid w:val="006E5BB6"/>
    <w:rsid w:val="006E6FD6"/>
    <w:rsid w:val="006E7C67"/>
    <w:rsid w:val="006F13CB"/>
    <w:rsid w:val="006F14BC"/>
    <w:rsid w:val="006F1BDC"/>
    <w:rsid w:val="006F2397"/>
    <w:rsid w:val="006F4FC4"/>
    <w:rsid w:val="006F52F0"/>
    <w:rsid w:val="006F5B8D"/>
    <w:rsid w:val="006F5C4A"/>
    <w:rsid w:val="00700D74"/>
    <w:rsid w:val="00701DA0"/>
    <w:rsid w:val="007038EF"/>
    <w:rsid w:val="00704A84"/>
    <w:rsid w:val="00705A27"/>
    <w:rsid w:val="007064EA"/>
    <w:rsid w:val="00707993"/>
    <w:rsid w:val="00713633"/>
    <w:rsid w:val="00716AF6"/>
    <w:rsid w:val="00716C06"/>
    <w:rsid w:val="00716D56"/>
    <w:rsid w:val="00716FAC"/>
    <w:rsid w:val="00717380"/>
    <w:rsid w:val="00721008"/>
    <w:rsid w:val="00721C8D"/>
    <w:rsid w:val="007221F7"/>
    <w:rsid w:val="007224F5"/>
    <w:rsid w:val="0072519D"/>
    <w:rsid w:val="0072637B"/>
    <w:rsid w:val="007270B5"/>
    <w:rsid w:val="0072710F"/>
    <w:rsid w:val="00730300"/>
    <w:rsid w:val="00731253"/>
    <w:rsid w:val="00731C64"/>
    <w:rsid w:val="007347BC"/>
    <w:rsid w:val="00734870"/>
    <w:rsid w:val="00734A70"/>
    <w:rsid w:val="007362F8"/>
    <w:rsid w:val="00742807"/>
    <w:rsid w:val="0074335C"/>
    <w:rsid w:val="007452D6"/>
    <w:rsid w:val="0074668D"/>
    <w:rsid w:val="00750CE1"/>
    <w:rsid w:val="007555FB"/>
    <w:rsid w:val="00755C3C"/>
    <w:rsid w:val="007602CA"/>
    <w:rsid w:val="0076078F"/>
    <w:rsid w:val="00763248"/>
    <w:rsid w:val="00763642"/>
    <w:rsid w:val="007642CB"/>
    <w:rsid w:val="00764982"/>
    <w:rsid w:val="007659F9"/>
    <w:rsid w:val="00766292"/>
    <w:rsid w:val="00771BC9"/>
    <w:rsid w:val="00775869"/>
    <w:rsid w:val="00776169"/>
    <w:rsid w:val="00776747"/>
    <w:rsid w:val="00776D81"/>
    <w:rsid w:val="007815F9"/>
    <w:rsid w:val="00786ABB"/>
    <w:rsid w:val="00790BEB"/>
    <w:rsid w:val="00791374"/>
    <w:rsid w:val="00792C42"/>
    <w:rsid w:val="00795CF3"/>
    <w:rsid w:val="0079746F"/>
    <w:rsid w:val="007978F4"/>
    <w:rsid w:val="007A0975"/>
    <w:rsid w:val="007A271A"/>
    <w:rsid w:val="007A2EB6"/>
    <w:rsid w:val="007A3799"/>
    <w:rsid w:val="007A495A"/>
    <w:rsid w:val="007A4EEA"/>
    <w:rsid w:val="007A54C1"/>
    <w:rsid w:val="007A7031"/>
    <w:rsid w:val="007B17F8"/>
    <w:rsid w:val="007B28BD"/>
    <w:rsid w:val="007C007E"/>
    <w:rsid w:val="007C0262"/>
    <w:rsid w:val="007C0E59"/>
    <w:rsid w:val="007C16C9"/>
    <w:rsid w:val="007C33F4"/>
    <w:rsid w:val="007C47AC"/>
    <w:rsid w:val="007C539D"/>
    <w:rsid w:val="007C5A7D"/>
    <w:rsid w:val="007C68DA"/>
    <w:rsid w:val="007D141A"/>
    <w:rsid w:val="007D283A"/>
    <w:rsid w:val="007D33EE"/>
    <w:rsid w:val="007D3994"/>
    <w:rsid w:val="007D610F"/>
    <w:rsid w:val="007D7CA0"/>
    <w:rsid w:val="007E0053"/>
    <w:rsid w:val="007E03C5"/>
    <w:rsid w:val="007E0F84"/>
    <w:rsid w:val="007E2E2E"/>
    <w:rsid w:val="007E51AE"/>
    <w:rsid w:val="007E5926"/>
    <w:rsid w:val="007E6917"/>
    <w:rsid w:val="007E7C18"/>
    <w:rsid w:val="007F1048"/>
    <w:rsid w:val="007F23DF"/>
    <w:rsid w:val="007F35E8"/>
    <w:rsid w:val="007F366B"/>
    <w:rsid w:val="007F3DBB"/>
    <w:rsid w:val="007F677C"/>
    <w:rsid w:val="008000DF"/>
    <w:rsid w:val="00800C5A"/>
    <w:rsid w:val="00802890"/>
    <w:rsid w:val="00803385"/>
    <w:rsid w:val="008038B1"/>
    <w:rsid w:val="00804C61"/>
    <w:rsid w:val="00805530"/>
    <w:rsid w:val="00805FEA"/>
    <w:rsid w:val="00806DA3"/>
    <w:rsid w:val="00807789"/>
    <w:rsid w:val="00810E2F"/>
    <w:rsid w:val="00813510"/>
    <w:rsid w:val="0081410C"/>
    <w:rsid w:val="008163D2"/>
    <w:rsid w:val="008164D9"/>
    <w:rsid w:val="008166A3"/>
    <w:rsid w:val="00816E8C"/>
    <w:rsid w:val="00820609"/>
    <w:rsid w:val="008206EF"/>
    <w:rsid w:val="008217BE"/>
    <w:rsid w:val="00821975"/>
    <w:rsid w:val="00822451"/>
    <w:rsid w:val="0082384F"/>
    <w:rsid w:val="008238DF"/>
    <w:rsid w:val="00825511"/>
    <w:rsid w:val="0082560B"/>
    <w:rsid w:val="00837F34"/>
    <w:rsid w:val="00840781"/>
    <w:rsid w:val="00840D64"/>
    <w:rsid w:val="008434B7"/>
    <w:rsid w:val="00846B8E"/>
    <w:rsid w:val="008510DC"/>
    <w:rsid w:val="00851295"/>
    <w:rsid w:val="008513B3"/>
    <w:rsid w:val="00851460"/>
    <w:rsid w:val="008518C5"/>
    <w:rsid w:val="008523D7"/>
    <w:rsid w:val="00853C6F"/>
    <w:rsid w:val="0085488C"/>
    <w:rsid w:val="00855B88"/>
    <w:rsid w:val="0085628F"/>
    <w:rsid w:val="00857FAD"/>
    <w:rsid w:val="00861334"/>
    <w:rsid w:val="008634C6"/>
    <w:rsid w:val="00865134"/>
    <w:rsid w:val="00865580"/>
    <w:rsid w:val="0086752A"/>
    <w:rsid w:val="008725D6"/>
    <w:rsid w:val="008726CE"/>
    <w:rsid w:val="00872857"/>
    <w:rsid w:val="0087347C"/>
    <w:rsid w:val="00876258"/>
    <w:rsid w:val="00876F97"/>
    <w:rsid w:val="008810A0"/>
    <w:rsid w:val="008810CC"/>
    <w:rsid w:val="00882299"/>
    <w:rsid w:val="008859D3"/>
    <w:rsid w:val="00892950"/>
    <w:rsid w:val="00895576"/>
    <w:rsid w:val="00896C2F"/>
    <w:rsid w:val="008A1518"/>
    <w:rsid w:val="008A2E60"/>
    <w:rsid w:val="008A42F4"/>
    <w:rsid w:val="008A7EB7"/>
    <w:rsid w:val="008B0B10"/>
    <w:rsid w:val="008B0F36"/>
    <w:rsid w:val="008B25C9"/>
    <w:rsid w:val="008B41FF"/>
    <w:rsid w:val="008B62A8"/>
    <w:rsid w:val="008B6921"/>
    <w:rsid w:val="008B6E41"/>
    <w:rsid w:val="008B6E98"/>
    <w:rsid w:val="008C10D6"/>
    <w:rsid w:val="008C34FE"/>
    <w:rsid w:val="008C3692"/>
    <w:rsid w:val="008C3F9B"/>
    <w:rsid w:val="008C678C"/>
    <w:rsid w:val="008D2BA8"/>
    <w:rsid w:val="008D4FE7"/>
    <w:rsid w:val="008D674C"/>
    <w:rsid w:val="008D693B"/>
    <w:rsid w:val="008D7182"/>
    <w:rsid w:val="008E146C"/>
    <w:rsid w:val="008E23BF"/>
    <w:rsid w:val="008E43DB"/>
    <w:rsid w:val="008E4510"/>
    <w:rsid w:val="008E4645"/>
    <w:rsid w:val="008E5DF4"/>
    <w:rsid w:val="008E6EB5"/>
    <w:rsid w:val="008E6F93"/>
    <w:rsid w:val="008F0119"/>
    <w:rsid w:val="0090049A"/>
    <w:rsid w:val="00900E4A"/>
    <w:rsid w:val="00901B0D"/>
    <w:rsid w:val="00901B4D"/>
    <w:rsid w:val="00903A20"/>
    <w:rsid w:val="009046E4"/>
    <w:rsid w:val="009059DB"/>
    <w:rsid w:val="009068F8"/>
    <w:rsid w:val="00906C1C"/>
    <w:rsid w:val="00910849"/>
    <w:rsid w:val="00914309"/>
    <w:rsid w:val="009143ED"/>
    <w:rsid w:val="009159E3"/>
    <w:rsid w:val="00915F5A"/>
    <w:rsid w:val="00917052"/>
    <w:rsid w:val="0091723E"/>
    <w:rsid w:val="009202D0"/>
    <w:rsid w:val="00921568"/>
    <w:rsid w:val="00921851"/>
    <w:rsid w:val="009221AF"/>
    <w:rsid w:val="00923B80"/>
    <w:rsid w:val="00924A6E"/>
    <w:rsid w:val="0092549D"/>
    <w:rsid w:val="00926495"/>
    <w:rsid w:val="00926A52"/>
    <w:rsid w:val="0092799F"/>
    <w:rsid w:val="009305D4"/>
    <w:rsid w:val="00934117"/>
    <w:rsid w:val="00935611"/>
    <w:rsid w:val="009375EB"/>
    <w:rsid w:val="009410EE"/>
    <w:rsid w:val="00944AD0"/>
    <w:rsid w:val="00945722"/>
    <w:rsid w:val="00945900"/>
    <w:rsid w:val="009508DE"/>
    <w:rsid w:val="00951CB9"/>
    <w:rsid w:val="00953912"/>
    <w:rsid w:val="00954740"/>
    <w:rsid w:val="00957918"/>
    <w:rsid w:val="00960857"/>
    <w:rsid w:val="00960B1C"/>
    <w:rsid w:val="00962004"/>
    <w:rsid w:val="00963EFC"/>
    <w:rsid w:val="009649C1"/>
    <w:rsid w:val="00964DEA"/>
    <w:rsid w:val="00965D0C"/>
    <w:rsid w:val="00966E25"/>
    <w:rsid w:val="0096729A"/>
    <w:rsid w:val="00967C4D"/>
    <w:rsid w:val="00972025"/>
    <w:rsid w:val="0097243E"/>
    <w:rsid w:val="00972B3A"/>
    <w:rsid w:val="0097349F"/>
    <w:rsid w:val="00975725"/>
    <w:rsid w:val="009805A8"/>
    <w:rsid w:val="00981008"/>
    <w:rsid w:val="0098120D"/>
    <w:rsid w:val="0098130C"/>
    <w:rsid w:val="009822BB"/>
    <w:rsid w:val="0098276C"/>
    <w:rsid w:val="0098305C"/>
    <w:rsid w:val="00984C9E"/>
    <w:rsid w:val="009875AC"/>
    <w:rsid w:val="00987742"/>
    <w:rsid w:val="00991799"/>
    <w:rsid w:val="009921A1"/>
    <w:rsid w:val="009936A5"/>
    <w:rsid w:val="00993B8F"/>
    <w:rsid w:val="00994994"/>
    <w:rsid w:val="009950ED"/>
    <w:rsid w:val="0099523F"/>
    <w:rsid w:val="009A05EA"/>
    <w:rsid w:val="009A067E"/>
    <w:rsid w:val="009A433E"/>
    <w:rsid w:val="009A48C2"/>
    <w:rsid w:val="009A559C"/>
    <w:rsid w:val="009B00B9"/>
    <w:rsid w:val="009B0D31"/>
    <w:rsid w:val="009B2BC1"/>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9F6160"/>
    <w:rsid w:val="00A01E0D"/>
    <w:rsid w:val="00A02E7E"/>
    <w:rsid w:val="00A03B16"/>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540"/>
    <w:rsid w:val="00A24A15"/>
    <w:rsid w:val="00A27181"/>
    <w:rsid w:val="00A317C9"/>
    <w:rsid w:val="00A3284D"/>
    <w:rsid w:val="00A353B0"/>
    <w:rsid w:val="00A361B3"/>
    <w:rsid w:val="00A375BB"/>
    <w:rsid w:val="00A37C32"/>
    <w:rsid w:val="00A400EF"/>
    <w:rsid w:val="00A40F5C"/>
    <w:rsid w:val="00A432BA"/>
    <w:rsid w:val="00A433B8"/>
    <w:rsid w:val="00A4567C"/>
    <w:rsid w:val="00A512A0"/>
    <w:rsid w:val="00A51F10"/>
    <w:rsid w:val="00A533EF"/>
    <w:rsid w:val="00A5636E"/>
    <w:rsid w:val="00A563F4"/>
    <w:rsid w:val="00A57E5A"/>
    <w:rsid w:val="00A6158E"/>
    <w:rsid w:val="00A63430"/>
    <w:rsid w:val="00A648BE"/>
    <w:rsid w:val="00A66491"/>
    <w:rsid w:val="00A66B15"/>
    <w:rsid w:val="00A67FAA"/>
    <w:rsid w:val="00A70504"/>
    <w:rsid w:val="00A71C45"/>
    <w:rsid w:val="00A726BE"/>
    <w:rsid w:val="00A7297A"/>
    <w:rsid w:val="00A75A46"/>
    <w:rsid w:val="00A75F47"/>
    <w:rsid w:val="00A76905"/>
    <w:rsid w:val="00A800F8"/>
    <w:rsid w:val="00A804B7"/>
    <w:rsid w:val="00A82146"/>
    <w:rsid w:val="00A824D2"/>
    <w:rsid w:val="00A83E16"/>
    <w:rsid w:val="00A851DA"/>
    <w:rsid w:val="00A861AA"/>
    <w:rsid w:val="00A87E4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C20"/>
    <w:rsid w:val="00AC4128"/>
    <w:rsid w:val="00AC4733"/>
    <w:rsid w:val="00AD0385"/>
    <w:rsid w:val="00AD09A4"/>
    <w:rsid w:val="00AD22A7"/>
    <w:rsid w:val="00AD3E18"/>
    <w:rsid w:val="00AD494C"/>
    <w:rsid w:val="00AD4CB7"/>
    <w:rsid w:val="00AD5526"/>
    <w:rsid w:val="00AD5960"/>
    <w:rsid w:val="00AD61C5"/>
    <w:rsid w:val="00AE04CB"/>
    <w:rsid w:val="00AE0CF9"/>
    <w:rsid w:val="00AE1B78"/>
    <w:rsid w:val="00AE316C"/>
    <w:rsid w:val="00AE41C8"/>
    <w:rsid w:val="00AE519A"/>
    <w:rsid w:val="00AE5B37"/>
    <w:rsid w:val="00AF1E83"/>
    <w:rsid w:val="00AF20DA"/>
    <w:rsid w:val="00AF3510"/>
    <w:rsid w:val="00AF4DC3"/>
    <w:rsid w:val="00AF7770"/>
    <w:rsid w:val="00B00C86"/>
    <w:rsid w:val="00B02C84"/>
    <w:rsid w:val="00B03465"/>
    <w:rsid w:val="00B06139"/>
    <w:rsid w:val="00B1169C"/>
    <w:rsid w:val="00B12170"/>
    <w:rsid w:val="00B122FA"/>
    <w:rsid w:val="00B14DB8"/>
    <w:rsid w:val="00B17AE3"/>
    <w:rsid w:val="00B24420"/>
    <w:rsid w:val="00B2586B"/>
    <w:rsid w:val="00B25955"/>
    <w:rsid w:val="00B261C1"/>
    <w:rsid w:val="00B27EE0"/>
    <w:rsid w:val="00B30727"/>
    <w:rsid w:val="00B317FF"/>
    <w:rsid w:val="00B432A7"/>
    <w:rsid w:val="00B45003"/>
    <w:rsid w:val="00B5110F"/>
    <w:rsid w:val="00B51EA1"/>
    <w:rsid w:val="00B52EF3"/>
    <w:rsid w:val="00B548A4"/>
    <w:rsid w:val="00B54F4B"/>
    <w:rsid w:val="00B55C1F"/>
    <w:rsid w:val="00B56490"/>
    <w:rsid w:val="00B5652A"/>
    <w:rsid w:val="00B57A29"/>
    <w:rsid w:val="00B62983"/>
    <w:rsid w:val="00B62BAD"/>
    <w:rsid w:val="00B643F3"/>
    <w:rsid w:val="00B67AED"/>
    <w:rsid w:val="00B70890"/>
    <w:rsid w:val="00B714D5"/>
    <w:rsid w:val="00B71F47"/>
    <w:rsid w:val="00B72773"/>
    <w:rsid w:val="00B754C0"/>
    <w:rsid w:val="00B759A8"/>
    <w:rsid w:val="00B80396"/>
    <w:rsid w:val="00B81359"/>
    <w:rsid w:val="00B8389E"/>
    <w:rsid w:val="00B86A2C"/>
    <w:rsid w:val="00B90A29"/>
    <w:rsid w:val="00B93CEB"/>
    <w:rsid w:val="00B950E7"/>
    <w:rsid w:val="00B95BAD"/>
    <w:rsid w:val="00BA0E42"/>
    <w:rsid w:val="00BA100B"/>
    <w:rsid w:val="00BA1AB1"/>
    <w:rsid w:val="00BA4890"/>
    <w:rsid w:val="00BA5E01"/>
    <w:rsid w:val="00BA5E5A"/>
    <w:rsid w:val="00BA6A35"/>
    <w:rsid w:val="00BB029B"/>
    <w:rsid w:val="00BB0A5B"/>
    <w:rsid w:val="00BB25B6"/>
    <w:rsid w:val="00BB5596"/>
    <w:rsid w:val="00BB5778"/>
    <w:rsid w:val="00BC434D"/>
    <w:rsid w:val="00BC69E7"/>
    <w:rsid w:val="00BC7682"/>
    <w:rsid w:val="00BC7D60"/>
    <w:rsid w:val="00BD0D2F"/>
    <w:rsid w:val="00BD1BF8"/>
    <w:rsid w:val="00BD2E2A"/>
    <w:rsid w:val="00BD32F4"/>
    <w:rsid w:val="00BE239D"/>
    <w:rsid w:val="00BE3CC4"/>
    <w:rsid w:val="00BE42DB"/>
    <w:rsid w:val="00BE42E2"/>
    <w:rsid w:val="00BF19D6"/>
    <w:rsid w:val="00BF321D"/>
    <w:rsid w:val="00BF3FFE"/>
    <w:rsid w:val="00BF4DBA"/>
    <w:rsid w:val="00BF5C6E"/>
    <w:rsid w:val="00C025A0"/>
    <w:rsid w:val="00C06CE0"/>
    <w:rsid w:val="00C07417"/>
    <w:rsid w:val="00C1168B"/>
    <w:rsid w:val="00C11DE9"/>
    <w:rsid w:val="00C124CB"/>
    <w:rsid w:val="00C13CAA"/>
    <w:rsid w:val="00C13D65"/>
    <w:rsid w:val="00C178B4"/>
    <w:rsid w:val="00C17C45"/>
    <w:rsid w:val="00C2193D"/>
    <w:rsid w:val="00C2212E"/>
    <w:rsid w:val="00C22382"/>
    <w:rsid w:val="00C22884"/>
    <w:rsid w:val="00C26045"/>
    <w:rsid w:val="00C27FC1"/>
    <w:rsid w:val="00C306E0"/>
    <w:rsid w:val="00C313BB"/>
    <w:rsid w:val="00C33395"/>
    <w:rsid w:val="00C33CE9"/>
    <w:rsid w:val="00C340A1"/>
    <w:rsid w:val="00C34E7A"/>
    <w:rsid w:val="00C36914"/>
    <w:rsid w:val="00C3736F"/>
    <w:rsid w:val="00C37454"/>
    <w:rsid w:val="00C47B25"/>
    <w:rsid w:val="00C47EA7"/>
    <w:rsid w:val="00C50285"/>
    <w:rsid w:val="00C5029A"/>
    <w:rsid w:val="00C50798"/>
    <w:rsid w:val="00C53193"/>
    <w:rsid w:val="00C5393A"/>
    <w:rsid w:val="00C540C8"/>
    <w:rsid w:val="00C55A4E"/>
    <w:rsid w:val="00C56F5C"/>
    <w:rsid w:val="00C5757D"/>
    <w:rsid w:val="00C57BD4"/>
    <w:rsid w:val="00C6305C"/>
    <w:rsid w:val="00C648EB"/>
    <w:rsid w:val="00C70A82"/>
    <w:rsid w:val="00C70B76"/>
    <w:rsid w:val="00C7249A"/>
    <w:rsid w:val="00C74C81"/>
    <w:rsid w:val="00C750EA"/>
    <w:rsid w:val="00C75D02"/>
    <w:rsid w:val="00C76811"/>
    <w:rsid w:val="00C80B5A"/>
    <w:rsid w:val="00C82B59"/>
    <w:rsid w:val="00C84A75"/>
    <w:rsid w:val="00C85B37"/>
    <w:rsid w:val="00C90857"/>
    <w:rsid w:val="00C90B8D"/>
    <w:rsid w:val="00C91729"/>
    <w:rsid w:val="00C919FA"/>
    <w:rsid w:val="00C940C4"/>
    <w:rsid w:val="00C94AA8"/>
    <w:rsid w:val="00C95BE0"/>
    <w:rsid w:val="00C95FA0"/>
    <w:rsid w:val="00CA3CE8"/>
    <w:rsid w:val="00CB056F"/>
    <w:rsid w:val="00CB1531"/>
    <w:rsid w:val="00CB18E5"/>
    <w:rsid w:val="00CB1B5A"/>
    <w:rsid w:val="00CB20F7"/>
    <w:rsid w:val="00CB4E0B"/>
    <w:rsid w:val="00CB6FE3"/>
    <w:rsid w:val="00CB7EA1"/>
    <w:rsid w:val="00CC1259"/>
    <w:rsid w:val="00CC2FC4"/>
    <w:rsid w:val="00CC7FEF"/>
    <w:rsid w:val="00CD087A"/>
    <w:rsid w:val="00CD0A30"/>
    <w:rsid w:val="00CD1498"/>
    <w:rsid w:val="00CD33FD"/>
    <w:rsid w:val="00CD5C5C"/>
    <w:rsid w:val="00CE236C"/>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BF4"/>
    <w:rsid w:val="00D143D8"/>
    <w:rsid w:val="00D14B07"/>
    <w:rsid w:val="00D16419"/>
    <w:rsid w:val="00D17573"/>
    <w:rsid w:val="00D17BDF"/>
    <w:rsid w:val="00D227F2"/>
    <w:rsid w:val="00D2529C"/>
    <w:rsid w:val="00D30368"/>
    <w:rsid w:val="00D31C91"/>
    <w:rsid w:val="00D3201A"/>
    <w:rsid w:val="00D3442C"/>
    <w:rsid w:val="00D35D36"/>
    <w:rsid w:val="00D36E24"/>
    <w:rsid w:val="00D373A4"/>
    <w:rsid w:val="00D474FF"/>
    <w:rsid w:val="00D50DCB"/>
    <w:rsid w:val="00D51D76"/>
    <w:rsid w:val="00D529D9"/>
    <w:rsid w:val="00D578C6"/>
    <w:rsid w:val="00D60FBA"/>
    <w:rsid w:val="00D61A52"/>
    <w:rsid w:val="00D620B4"/>
    <w:rsid w:val="00D62277"/>
    <w:rsid w:val="00D62D1C"/>
    <w:rsid w:val="00D645C6"/>
    <w:rsid w:val="00D648DF"/>
    <w:rsid w:val="00D650B3"/>
    <w:rsid w:val="00D658EC"/>
    <w:rsid w:val="00D661A3"/>
    <w:rsid w:val="00D679CC"/>
    <w:rsid w:val="00D703DC"/>
    <w:rsid w:val="00D72210"/>
    <w:rsid w:val="00D73237"/>
    <w:rsid w:val="00D739EF"/>
    <w:rsid w:val="00D73EA5"/>
    <w:rsid w:val="00D75C75"/>
    <w:rsid w:val="00D76079"/>
    <w:rsid w:val="00D76810"/>
    <w:rsid w:val="00D814A0"/>
    <w:rsid w:val="00D84C7A"/>
    <w:rsid w:val="00D85DB8"/>
    <w:rsid w:val="00D871E3"/>
    <w:rsid w:val="00D8726A"/>
    <w:rsid w:val="00D93302"/>
    <w:rsid w:val="00D96E5B"/>
    <w:rsid w:val="00D97E7A"/>
    <w:rsid w:val="00DA13D9"/>
    <w:rsid w:val="00DA318B"/>
    <w:rsid w:val="00DA35B4"/>
    <w:rsid w:val="00DA49ED"/>
    <w:rsid w:val="00DA6777"/>
    <w:rsid w:val="00DB0DD0"/>
    <w:rsid w:val="00DB0E1C"/>
    <w:rsid w:val="00DB22A6"/>
    <w:rsid w:val="00DB2981"/>
    <w:rsid w:val="00DB3EDD"/>
    <w:rsid w:val="00DB4693"/>
    <w:rsid w:val="00DB4FB2"/>
    <w:rsid w:val="00DB5035"/>
    <w:rsid w:val="00DB584D"/>
    <w:rsid w:val="00DB6785"/>
    <w:rsid w:val="00DC0411"/>
    <w:rsid w:val="00DC066A"/>
    <w:rsid w:val="00DC09EA"/>
    <w:rsid w:val="00DC5CBC"/>
    <w:rsid w:val="00DD11B7"/>
    <w:rsid w:val="00DD29D7"/>
    <w:rsid w:val="00DD3875"/>
    <w:rsid w:val="00DD510B"/>
    <w:rsid w:val="00DD5B66"/>
    <w:rsid w:val="00DD5FDD"/>
    <w:rsid w:val="00DD6AB1"/>
    <w:rsid w:val="00DD7CFE"/>
    <w:rsid w:val="00DD7F82"/>
    <w:rsid w:val="00DE2097"/>
    <w:rsid w:val="00DE28D9"/>
    <w:rsid w:val="00DE2C29"/>
    <w:rsid w:val="00DE2FAA"/>
    <w:rsid w:val="00DE4B29"/>
    <w:rsid w:val="00DE6A23"/>
    <w:rsid w:val="00DE7B5C"/>
    <w:rsid w:val="00DF4258"/>
    <w:rsid w:val="00DF446F"/>
    <w:rsid w:val="00DF46DF"/>
    <w:rsid w:val="00DF4DC8"/>
    <w:rsid w:val="00E00A8B"/>
    <w:rsid w:val="00E03920"/>
    <w:rsid w:val="00E03E13"/>
    <w:rsid w:val="00E05E10"/>
    <w:rsid w:val="00E06D4E"/>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CFD"/>
    <w:rsid w:val="00E47F3D"/>
    <w:rsid w:val="00E52283"/>
    <w:rsid w:val="00E5241F"/>
    <w:rsid w:val="00E52C21"/>
    <w:rsid w:val="00E54269"/>
    <w:rsid w:val="00E55A01"/>
    <w:rsid w:val="00E614DF"/>
    <w:rsid w:val="00E61878"/>
    <w:rsid w:val="00E6200E"/>
    <w:rsid w:val="00E63A6C"/>
    <w:rsid w:val="00E65ABA"/>
    <w:rsid w:val="00E6683F"/>
    <w:rsid w:val="00E671D4"/>
    <w:rsid w:val="00E72F5F"/>
    <w:rsid w:val="00E746E0"/>
    <w:rsid w:val="00E757FD"/>
    <w:rsid w:val="00E75917"/>
    <w:rsid w:val="00E83421"/>
    <w:rsid w:val="00E857AD"/>
    <w:rsid w:val="00E859D0"/>
    <w:rsid w:val="00E914E0"/>
    <w:rsid w:val="00E9262B"/>
    <w:rsid w:val="00E93DE4"/>
    <w:rsid w:val="00E94CD0"/>
    <w:rsid w:val="00E94FA4"/>
    <w:rsid w:val="00E97BDE"/>
    <w:rsid w:val="00EA1204"/>
    <w:rsid w:val="00EA18B9"/>
    <w:rsid w:val="00EA1B45"/>
    <w:rsid w:val="00EA2505"/>
    <w:rsid w:val="00EA3FBA"/>
    <w:rsid w:val="00EA4883"/>
    <w:rsid w:val="00EA48ED"/>
    <w:rsid w:val="00EB4355"/>
    <w:rsid w:val="00EB6363"/>
    <w:rsid w:val="00EC0668"/>
    <w:rsid w:val="00EC2A54"/>
    <w:rsid w:val="00EC37CC"/>
    <w:rsid w:val="00EC4EA3"/>
    <w:rsid w:val="00EC6A52"/>
    <w:rsid w:val="00EC74BC"/>
    <w:rsid w:val="00EC79A1"/>
    <w:rsid w:val="00ED3477"/>
    <w:rsid w:val="00ED41E8"/>
    <w:rsid w:val="00ED42EA"/>
    <w:rsid w:val="00ED793B"/>
    <w:rsid w:val="00EE31CB"/>
    <w:rsid w:val="00EE6178"/>
    <w:rsid w:val="00EE6541"/>
    <w:rsid w:val="00EE6C14"/>
    <w:rsid w:val="00EE7424"/>
    <w:rsid w:val="00EE7F4E"/>
    <w:rsid w:val="00EF0CC4"/>
    <w:rsid w:val="00EF340F"/>
    <w:rsid w:val="00EF4142"/>
    <w:rsid w:val="00EF533D"/>
    <w:rsid w:val="00EF5FC4"/>
    <w:rsid w:val="00F01BB9"/>
    <w:rsid w:val="00F0612B"/>
    <w:rsid w:val="00F108A0"/>
    <w:rsid w:val="00F119E7"/>
    <w:rsid w:val="00F13FF4"/>
    <w:rsid w:val="00F14F16"/>
    <w:rsid w:val="00F159E6"/>
    <w:rsid w:val="00F1705B"/>
    <w:rsid w:val="00F22A08"/>
    <w:rsid w:val="00F23575"/>
    <w:rsid w:val="00F2571B"/>
    <w:rsid w:val="00F30CF6"/>
    <w:rsid w:val="00F3139E"/>
    <w:rsid w:val="00F32A52"/>
    <w:rsid w:val="00F339BC"/>
    <w:rsid w:val="00F34E05"/>
    <w:rsid w:val="00F37124"/>
    <w:rsid w:val="00F41A56"/>
    <w:rsid w:val="00F463BA"/>
    <w:rsid w:val="00F47256"/>
    <w:rsid w:val="00F5318F"/>
    <w:rsid w:val="00F547FB"/>
    <w:rsid w:val="00F60E6F"/>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22D0"/>
    <w:rsid w:val="00FA49AE"/>
    <w:rsid w:val="00FA4EFD"/>
    <w:rsid w:val="00FA56ED"/>
    <w:rsid w:val="00FA6352"/>
    <w:rsid w:val="00FA720C"/>
    <w:rsid w:val="00FA7BA5"/>
    <w:rsid w:val="00FB00D1"/>
    <w:rsid w:val="00FB1F0B"/>
    <w:rsid w:val="00FB2852"/>
    <w:rsid w:val="00FB3B6B"/>
    <w:rsid w:val="00FB3C5B"/>
    <w:rsid w:val="00FB4650"/>
    <w:rsid w:val="00FB5AC2"/>
    <w:rsid w:val="00FB5E56"/>
    <w:rsid w:val="00FB6510"/>
    <w:rsid w:val="00FB6642"/>
    <w:rsid w:val="00FB73F9"/>
    <w:rsid w:val="00FC1550"/>
    <w:rsid w:val="00FC1E58"/>
    <w:rsid w:val="00FC265A"/>
    <w:rsid w:val="00FC381C"/>
    <w:rsid w:val="00FC3BD4"/>
    <w:rsid w:val="00FC3F2D"/>
    <w:rsid w:val="00FC5352"/>
    <w:rsid w:val="00FC53D4"/>
    <w:rsid w:val="00FC7CCA"/>
    <w:rsid w:val="00FD073E"/>
    <w:rsid w:val="00FD2DB5"/>
    <w:rsid w:val="00FD4864"/>
    <w:rsid w:val="00FD5CB2"/>
    <w:rsid w:val="00FD6A2F"/>
    <w:rsid w:val="00FD6D4B"/>
    <w:rsid w:val="00FE17D7"/>
    <w:rsid w:val="00FE44EE"/>
    <w:rsid w:val="00FE5A3E"/>
    <w:rsid w:val="00FE654B"/>
    <w:rsid w:val="00FE6ECB"/>
    <w:rsid w:val="00FF0A8B"/>
    <w:rsid w:val="00FF1E41"/>
    <w:rsid w:val="00FF4372"/>
    <w:rsid w:val="00FF59E7"/>
    <w:rsid w:val="00FF7BD9"/>
    <w:rsid w:val="09630209"/>
    <w:rsid w:val="0CD93D06"/>
    <w:rsid w:val="0D9C70D9"/>
    <w:rsid w:val="0DE7465B"/>
    <w:rsid w:val="10185A7B"/>
    <w:rsid w:val="12C50C1A"/>
    <w:rsid w:val="17F301A9"/>
    <w:rsid w:val="19EF1374"/>
    <w:rsid w:val="1B813CE0"/>
    <w:rsid w:val="22624C8B"/>
    <w:rsid w:val="2F7A734E"/>
    <w:rsid w:val="3B537E3D"/>
    <w:rsid w:val="4DF0361D"/>
    <w:rsid w:val="4E9F73FB"/>
    <w:rsid w:val="54E86EE4"/>
    <w:rsid w:val="55AC4B21"/>
    <w:rsid w:val="5AA727CA"/>
    <w:rsid w:val="5CF01AC2"/>
    <w:rsid w:val="5D4E5899"/>
    <w:rsid w:val="60895EF6"/>
    <w:rsid w:val="612748DD"/>
    <w:rsid w:val="68AE668B"/>
    <w:rsid w:val="69955344"/>
    <w:rsid w:val="7517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29"/>
    <w:semiHidden/>
    <w:qFormat/>
    <w:uiPriority w:val="0"/>
    <w:rPr>
      <w:rFonts w:ascii="宋体"/>
      <w:kern w:val="0"/>
      <w:sz w:val="18"/>
      <w:szCs w:val="18"/>
    </w:rPr>
  </w:style>
  <w:style w:type="paragraph" w:styleId="6">
    <w:name w:val="annotation text"/>
    <w:basedOn w:val="1"/>
    <w:link w:val="50"/>
    <w:qFormat/>
    <w:uiPriority w:val="0"/>
    <w:pPr>
      <w:spacing w:line="460" w:lineRule="exact"/>
      <w:jc w:val="left"/>
    </w:pPr>
    <w:rPr>
      <w:rFonts w:ascii="Calibri" w:hAnsi="Calibri"/>
      <w:szCs w:val="21"/>
    </w:rPr>
  </w:style>
  <w:style w:type="paragraph" w:styleId="7">
    <w:name w:val="Body Text"/>
    <w:basedOn w:val="1"/>
    <w:link w:val="45"/>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32"/>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31"/>
    <w:semiHidden/>
    <w:qFormat/>
    <w:uiPriority w:val="0"/>
    <w:rPr>
      <w:kern w:val="0"/>
      <w:sz w:val="18"/>
      <w:szCs w:val="18"/>
    </w:rPr>
  </w:style>
  <w:style w:type="paragraph" w:styleId="13">
    <w:name w:val="footer"/>
    <w:basedOn w:val="1"/>
    <w:link w:val="28"/>
    <w:qFormat/>
    <w:uiPriority w:val="99"/>
    <w:pPr>
      <w:tabs>
        <w:tab w:val="center" w:pos="4153"/>
        <w:tab w:val="right" w:pos="8306"/>
      </w:tabs>
      <w:snapToGrid w:val="0"/>
      <w:jc w:val="left"/>
    </w:pPr>
    <w:rPr>
      <w:kern w:val="0"/>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35"/>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0"/>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1"/>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rFonts w:cs="Times New Roman"/>
    </w:rPr>
  </w:style>
  <w:style w:type="character" w:styleId="22">
    <w:name w:val="FollowedHyperlink"/>
    <w:qFormat/>
    <w:uiPriority w:val="0"/>
    <w:rPr>
      <w:rFonts w:cs="Times New Roman"/>
      <w:color w:val="800080"/>
      <w:u w:val="single"/>
    </w:rPr>
  </w:style>
  <w:style w:type="character" w:styleId="23">
    <w:name w:val="Hyperlink"/>
    <w:qFormat/>
    <w:uiPriority w:val="0"/>
    <w:rPr>
      <w:rFonts w:cs="Times New Roman"/>
      <w:color w:val="1B227E"/>
      <w:u w:val="none"/>
    </w:rPr>
  </w:style>
  <w:style w:type="character" w:styleId="24">
    <w:name w:val="annotation reference"/>
    <w:semiHidden/>
    <w:qFormat/>
    <w:uiPriority w:val="0"/>
    <w:rPr>
      <w:rFonts w:cs="Times New Roman"/>
      <w:sz w:val="21"/>
      <w:szCs w:val="21"/>
    </w:rPr>
  </w:style>
  <w:style w:type="character" w:styleId="25">
    <w:name w:val="footnote reference"/>
    <w:semiHidden/>
    <w:qFormat/>
    <w:uiPriority w:val="0"/>
    <w:rPr>
      <w:rFonts w:cs="Times New Roman"/>
      <w:vertAlign w:val="superscript"/>
    </w:rPr>
  </w:style>
  <w:style w:type="paragraph" w:customStyle="1" w:styleId="26">
    <w:name w:val="列出段落1"/>
    <w:basedOn w:val="1"/>
    <w:qFormat/>
    <w:uiPriority w:val="0"/>
    <w:pPr>
      <w:ind w:firstLine="420" w:firstLineChars="200"/>
    </w:pPr>
  </w:style>
  <w:style w:type="character" w:customStyle="1" w:styleId="27">
    <w:name w:val="页眉 字符"/>
    <w:link w:val="14"/>
    <w:qFormat/>
    <w:locked/>
    <w:uiPriority w:val="0"/>
    <w:rPr>
      <w:rFonts w:cs="Times New Roman"/>
      <w:sz w:val="18"/>
      <w:szCs w:val="18"/>
    </w:rPr>
  </w:style>
  <w:style w:type="character" w:customStyle="1" w:styleId="28">
    <w:name w:val="页脚 字符"/>
    <w:link w:val="13"/>
    <w:qFormat/>
    <w:locked/>
    <w:uiPriority w:val="99"/>
    <w:rPr>
      <w:rFonts w:cs="Times New Roman"/>
      <w:sz w:val="18"/>
      <w:szCs w:val="18"/>
    </w:rPr>
  </w:style>
  <w:style w:type="character" w:customStyle="1" w:styleId="29">
    <w:name w:val="文档结构图 字符"/>
    <w:link w:val="5"/>
    <w:qFormat/>
    <w:locked/>
    <w:uiPriority w:val="0"/>
    <w:rPr>
      <w:rFonts w:ascii="宋体" w:cs="Times New Roman"/>
      <w:sz w:val="18"/>
      <w:szCs w:val="18"/>
    </w:rPr>
  </w:style>
  <w:style w:type="character" w:customStyle="1" w:styleId="30">
    <w:name w:val="标题 1 字符"/>
    <w:link w:val="2"/>
    <w:qFormat/>
    <w:locked/>
    <w:uiPriority w:val="0"/>
    <w:rPr>
      <w:rFonts w:cs="Times New Roman"/>
      <w:b/>
      <w:bCs/>
      <w:kern w:val="44"/>
      <w:sz w:val="44"/>
      <w:szCs w:val="44"/>
    </w:rPr>
  </w:style>
  <w:style w:type="character" w:customStyle="1" w:styleId="31">
    <w:name w:val="批注框文本 字符"/>
    <w:link w:val="12"/>
    <w:qFormat/>
    <w:locked/>
    <w:uiPriority w:val="0"/>
    <w:rPr>
      <w:rFonts w:cs="Times New Roman"/>
      <w:sz w:val="18"/>
      <w:szCs w:val="18"/>
    </w:rPr>
  </w:style>
  <w:style w:type="character" w:customStyle="1" w:styleId="32">
    <w:name w:val="日期 字符"/>
    <w:link w:val="10"/>
    <w:qFormat/>
    <w:locked/>
    <w:uiPriority w:val="0"/>
    <w:rPr>
      <w:rFonts w:cs="Times New Roman"/>
      <w:sz w:val="24"/>
      <w:szCs w:val="24"/>
    </w:rPr>
  </w:style>
  <w:style w:type="paragraph" w:customStyle="1" w:styleId="33">
    <w:name w:val="修订1"/>
    <w:hidden/>
    <w:qFormat/>
    <w:uiPriority w:val="0"/>
    <w:rPr>
      <w:rFonts w:ascii="Times New Roman" w:hAnsi="Times New Roman" w:eastAsia="宋体" w:cs="Times New Roman"/>
      <w:kern w:val="2"/>
      <w:sz w:val="21"/>
      <w:szCs w:val="24"/>
      <w:lang w:val="en-US" w:eastAsia="zh-CN" w:bidi="ar-SA"/>
    </w:rPr>
  </w:style>
  <w:style w:type="character" w:customStyle="1" w:styleId="34">
    <w:name w:val="标题 2 字符"/>
    <w:link w:val="3"/>
    <w:qFormat/>
    <w:locked/>
    <w:uiPriority w:val="0"/>
    <w:rPr>
      <w:rFonts w:ascii="宋体" w:eastAsia="宋体" w:cs="Times New Roman"/>
      <w:b/>
      <w:bCs/>
      <w:sz w:val="36"/>
      <w:szCs w:val="36"/>
    </w:rPr>
  </w:style>
  <w:style w:type="character" w:customStyle="1" w:styleId="35">
    <w:name w:val="正文文本缩进 3 字符"/>
    <w:link w:val="15"/>
    <w:qFormat/>
    <w:locked/>
    <w:uiPriority w:val="0"/>
    <w:rPr>
      <w:rFonts w:ascii="宋体" w:eastAsia="宋体" w:cs="Times New Roman"/>
      <w:sz w:val="21"/>
      <w:szCs w:val="21"/>
    </w:rPr>
  </w:style>
  <w:style w:type="paragraph" w:customStyle="1" w:styleId="36">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7">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character" w:customStyle="1" w:styleId="38">
    <w:name w:val="正文文本缩进 字符"/>
    <w:link w:val="8"/>
    <w:qFormat/>
    <w:locked/>
    <w:uiPriority w:val="0"/>
    <w:rPr>
      <w:rFonts w:ascii="仿宋_GB2312" w:eastAsia="仿宋_GB2312" w:cs="Times New Roman"/>
      <w:kern w:val="2"/>
      <w:sz w:val="32"/>
    </w:rPr>
  </w:style>
  <w:style w:type="paragraph" w:customStyle="1" w:styleId="39">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40">
    <w:name w:val="主题词"/>
    <w:basedOn w:val="1"/>
    <w:qFormat/>
    <w:uiPriority w:val="0"/>
    <w:pPr>
      <w:adjustRightInd w:val="0"/>
      <w:spacing w:line="440" w:lineRule="atLeast"/>
      <w:jc w:val="left"/>
      <w:textAlignment w:val="bottom"/>
    </w:pPr>
    <w:rPr>
      <w:rFonts w:eastAsia="黑体"/>
      <w:kern w:val="0"/>
      <w:sz w:val="28"/>
      <w:szCs w:val="20"/>
    </w:rPr>
  </w:style>
  <w:style w:type="paragraph" w:customStyle="1" w:styleId="41">
    <w:name w:val="函号"/>
    <w:basedOn w:val="1"/>
    <w:qFormat/>
    <w:uiPriority w:val="0"/>
    <w:pPr>
      <w:adjustRightInd w:val="0"/>
      <w:spacing w:line="440" w:lineRule="atLeast"/>
      <w:jc w:val="right"/>
      <w:textAlignment w:val="bottom"/>
    </w:pPr>
    <w:rPr>
      <w:rFonts w:eastAsia="仿宋_GB2312"/>
      <w:kern w:val="0"/>
      <w:sz w:val="28"/>
      <w:szCs w:val="20"/>
    </w:rPr>
  </w:style>
  <w:style w:type="character" w:customStyle="1" w:styleId="42">
    <w:name w:val="正文文本缩进 2 字符"/>
    <w:link w:val="11"/>
    <w:qFormat/>
    <w:locked/>
    <w:uiPriority w:val="0"/>
    <w:rPr>
      <w:rFonts w:ascii="仿宋_GB2312" w:eastAsia="仿宋_GB2312" w:cs="Times New Roman"/>
      <w:sz w:val="28"/>
    </w:rPr>
  </w:style>
  <w:style w:type="paragraph" w:customStyle="1" w:styleId="43">
    <w:name w:val="文号"/>
    <w:basedOn w:val="1"/>
    <w:qFormat/>
    <w:uiPriority w:val="0"/>
    <w:pPr>
      <w:adjustRightInd w:val="0"/>
      <w:spacing w:before="2550" w:line="360" w:lineRule="atLeast"/>
      <w:jc w:val="center"/>
      <w:textAlignment w:val="baseline"/>
    </w:pPr>
    <w:rPr>
      <w:rFonts w:eastAsia="仿宋_GB2312"/>
      <w:kern w:val="0"/>
      <w:sz w:val="28"/>
      <w:szCs w:val="20"/>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正文文本 字符"/>
    <w:link w:val="7"/>
    <w:qFormat/>
    <w:locked/>
    <w:uiPriority w:val="0"/>
    <w:rPr>
      <w:rFonts w:eastAsia="仿宋_GB2312" w:cs="Times New Roman"/>
      <w:kern w:val="2"/>
      <w:sz w:val="28"/>
    </w:rPr>
  </w:style>
  <w:style w:type="character" w:customStyle="1" w:styleId="46">
    <w:name w:val="unnamed2"/>
    <w:qFormat/>
    <w:uiPriority w:val="0"/>
    <w:rPr>
      <w:rFonts w:cs="Times New Roman"/>
    </w:rPr>
  </w:style>
  <w:style w:type="character" w:customStyle="1" w:styleId="47">
    <w:name w:val="high-light-bg4"/>
    <w:qFormat/>
    <w:uiPriority w:val="0"/>
    <w:rPr>
      <w:rFonts w:cs="Times New Roman"/>
    </w:rPr>
  </w:style>
  <w:style w:type="paragraph" w:customStyle="1" w:styleId="4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character" w:customStyle="1" w:styleId="49">
    <w:name w:val="edited2"/>
    <w:qFormat/>
    <w:uiPriority w:val="0"/>
    <w:rPr>
      <w:rFonts w:cs="Times New Roman"/>
    </w:rPr>
  </w:style>
  <w:style w:type="character" w:customStyle="1" w:styleId="50">
    <w:name w:val="批注文字 字符"/>
    <w:link w:val="6"/>
    <w:qFormat/>
    <w:locked/>
    <w:uiPriority w:val="0"/>
    <w:rPr>
      <w:rFonts w:ascii="Calibri" w:hAnsi="Calibri" w:cs="Calibri"/>
      <w:kern w:val="2"/>
      <w:sz w:val="21"/>
      <w:szCs w:val="21"/>
    </w:rPr>
  </w:style>
  <w:style w:type="character" w:customStyle="1" w:styleId="51">
    <w:name w:val="批注主题 字符"/>
    <w:link w:val="17"/>
    <w:semiHidden/>
    <w:qFormat/>
    <w:locked/>
    <w:uiPriority w:val="0"/>
    <w:rPr>
      <w:rFonts w:ascii="Calibri" w:hAnsi="Calibri" w:cs="Calibri"/>
      <w:b/>
      <w:bCs/>
      <w:kern w:val="2"/>
      <w:sz w:val="21"/>
      <w:szCs w:val="21"/>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DEB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9220B2-451C-4FE2-B6A4-F974CA4CFBAA}">
  <ds:schemaRefs/>
</ds:datastoreItem>
</file>

<file path=docProps/app.xml><?xml version="1.0" encoding="utf-8"?>
<Properties xmlns="http://schemas.openxmlformats.org/officeDocument/2006/extended-properties" xmlns:vt="http://schemas.openxmlformats.org/officeDocument/2006/docPropsVTypes">
  <Template>Normal.dotm</Template>
  <Company>sdu</Company>
  <Pages>16</Pages>
  <Words>2094</Words>
  <Characters>11942</Characters>
  <Lines>99</Lines>
  <Paragraphs>28</Paragraphs>
  <TotalTime>1</TotalTime>
  <ScaleCrop>false</ScaleCrop>
  <LinksUpToDate>false</LinksUpToDate>
  <CharactersWithSpaces>14008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2019-11-27T09:18:00Z</dcterms:created>
  <dc:creator>LIU</dc:creator>
  <cp:lastModifiedBy>心旷神怡</cp:lastModifiedBy>
  <cp:lastPrinted>2019-04-17T01:33:00Z</cp:lastPrinted>
  <dcterms:modified xsi:type="dcterms:W3CDTF">2020-12-09T08:15:06Z</dcterms:modified>
  <dc: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